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44.png" ContentType="image/png"/>
  <Override PartName="/word/media/rId4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Online</w:t>
      </w:r>
      <w:r>
        <w:t xml:space="preserve"> </w:t>
      </w:r>
      <w:r>
        <w:t xml:space="preserve">appendix</w:t>
      </w:r>
      <w:r>
        <w:t xml:space="preserve"> </w:t>
      </w:r>
      <w:r>
        <w:t xml:space="preserve">for</w:t>
      </w:r>
      <w:r>
        <w:t xml:space="preserve"> </w:t>
      </w:r>
      <w:r>
        <w:t xml:space="preserve">“</w:t>
      </w:r>
      <w:r>
        <w:t xml:space="preserve">Derogations,</w:t>
      </w:r>
      <w:r>
        <w:t xml:space="preserve"> </w:t>
      </w:r>
      <w:r>
        <w:t xml:space="preserve">Democratic</w:t>
      </w:r>
      <w:r>
        <w:t xml:space="preserve"> </w:t>
      </w:r>
      <w:r>
        <w:t xml:space="preserve">Backsliding,</w:t>
      </w:r>
      <w:r>
        <w:t xml:space="preserve"> </w:t>
      </w:r>
      <w:r>
        <w:t xml:space="preserve">and</w:t>
      </w:r>
      <w:r>
        <w:t xml:space="preserve"> </w:t>
      </w:r>
      <w:r>
        <w:t xml:space="preserve">International</w:t>
      </w:r>
      <w:r>
        <w:t xml:space="preserve"> </w:t>
      </w:r>
      <w:r>
        <w:t xml:space="preserve">Human</w:t>
      </w:r>
      <w:r>
        <w:t xml:space="preserve"> </w:t>
      </w:r>
      <w:r>
        <w:t xml:space="preserve">Rights</w:t>
      </w:r>
      <w:r>
        <w:t xml:space="preserve"> </w:t>
      </w:r>
      <w:r>
        <w:t xml:space="preserve">During</w:t>
      </w:r>
      <w:r>
        <w:t xml:space="preserve"> </w:t>
      </w:r>
      <w:r>
        <w:t xml:space="preserve">the</w:t>
      </w:r>
      <w:r>
        <w:t xml:space="preserve"> </w:t>
      </w:r>
      <w:r>
        <w:t xml:space="preserve">COVID-19</w:t>
      </w:r>
      <w:r>
        <w:t xml:space="preserve"> </w:t>
      </w:r>
      <w:r>
        <w:t xml:space="preserve">Pandemic</w:t>
      </w:r>
      <w:r>
        <w:t xml:space="preserve">”</w:t>
      </w:r>
    </w:p>
    <w:p>
      <w:pPr>
        <w:pStyle w:val="Author"/>
      </w:pPr>
      <w:r>
        <w:t xml:space="preserve">Audrey</w:t>
      </w:r>
      <w:r>
        <w:t xml:space="preserve"> </w:t>
      </w:r>
      <w:r>
        <w:t xml:space="preserve">L.</w:t>
      </w:r>
      <w:r>
        <w:t xml:space="preserve"> </w:t>
      </w:r>
      <w:r>
        <w:t xml:space="preserve">Comstock</w:t>
      </w:r>
    </w:p>
    <w:p>
      <w:pPr>
        <w:pStyle w:val="Author"/>
      </w:pPr>
      <w:r>
        <w:t xml:space="preserve">Andrew</w:t>
      </w:r>
      <w:r>
        <w:t xml:space="preserve"> </w:t>
      </w:r>
      <w:r>
        <w:t xml:space="preserve">Heiss</w:t>
      </w:r>
    </w:p>
    <w:p>
      <w:pPr>
        <w:pStyle w:val="Author"/>
      </w:pPr>
      <w:r>
        <w:t xml:space="preserve">Suparna</w:t>
      </w:r>
      <w:r>
        <w:t xml:space="preserve"> </w:t>
      </w:r>
      <w:r>
        <w:t xml:space="preserve">Chaudhry</w:t>
      </w:r>
    </w:p>
    <w:p>
      <w:pPr>
        <w:pStyle w:val="Date"/>
      </w:pPr>
      <w:r>
        <w:t xml:space="preserve">Tuesday,</w:t>
      </w:r>
      <w:r>
        <w:t xml:space="preserve"> </w:t>
      </w:r>
      <w:r>
        <w:t xml:space="preserve">November</w:t>
      </w:r>
      <w:r>
        <w:t xml:space="preserve"> </w:t>
      </w:r>
      <w:r>
        <w:t xml:space="preserve">26,</w:t>
      </w:r>
      <w:r>
        <w:t xml:space="preserve"> </w:t>
      </w:r>
      <w:r>
        <w:t xml:space="preserve">2024</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"1-2" \h \z \u</w:instrText>
            <w:fldChar w:fldCharType="separate"/>
            <w:fldChar w:fldCharType="end"/>
          </w:r>
        </w:p>
      </w:sdtContent>
    </w:sdt>
    <w:bookmarkStart w:id="21" w:name="variable-descriptions"/>
    <w:p>
      <w:pPr>
        <w:pStyle w:val="Heading1"/>
      </w:pPr>
      <w:r>
        <w:t xml:space="preserve">Variable descriptions</w:t>
      </w:r>
    </w:p>
    <w:tbl>
      <w:tblPr>
        <w:tblStyle w:val="Table"/>
        <w:tblW w:type="pct" w:w="5000"/>
        <w:tblLayout w:type="fixed"/>
        <w:tblLook w:firstRow="0" w:lastRow="0" w:firstColumn="0" w:lastColumn="0" w:noHBand="0" w:noVBand="0" w:val="0000"/>
      </w:tblPr>
      <w:tblGrid>
        <w:gridCol w:w="7920"/>
      </w:tblGrid>
      <w:tr>
        <w:tc>
          <w:tcPr/>
          <w:bookmarkStart w:id="20" w:name="apptbl-data-sources"/>
          <w:p>
            <w:pPr>
              <w:jc w:val="center"/>
            </w:pPr>
            <w:pPr>
              <w:jc w:val="start"/>
              <w:spacing w:before="200"/>
              <w:pStyle w:val="ImageCaption"/>
            </w:pPr>
            <w:r>
              <w:t xml:space="preserve">Table A1: Sources for outcomes and explanatory variables</w:t>
            </w:r>
          </w:p>
          <w:tbl>
            <w:tblPr>
              <w:tblStyle w:val="Table"/>
              <w:tblW w:type="pct" w:w="4972"/>
              <w:tblLayout w:type="fixed"/>
              <w:tblLook w:firstRow="1" w:lastRow="0" w:firstColumn="0" w:lastColumn="0" w:noHBand="0" w:noVBand="0" w:val="0020"/>
            </w:tblPr>
            <w:tblGrid>
              <w:gridCol w:w="1957"/>
              <w:gridCol w:w="3871"/>
              <w:gridCol w:w="2046"/>
            </w:tblGrid>
            <w:tr>
              <w:trPr>
                <w:tblHeader w:val="on"/>
              </w:trPr>
              <w:tc>
                <w:tcPr/>
                <w:p>
                  <w:pPr>
                    <w:pStyle w:val="Compact"/>
                    <w:jc w:val="left"/>
                    <w:jc w:val="center"/>
                  </w:pPr>
                  <w:r>
                    <w:t xml:space="preserve">Variable</w:t>
                  </w:r>
                </w:p>
              </w:tc>
              <w:tc>
                <w:tcPr/>
                <w:p>
                  <w:pPr>
                    <w:pStyle w:val="Compact"/>
                    <w:jc w:val="left"/>
                    <w:jc w:val="center"/>
                  </w:pPr>
                  <w:r>
                    <w:t xml:space="preserve">Description</w:t>
                  </w:r>
                </w:p>
              </w:tc>
              <w:tc>
                <w:tcPr/>
                <w:p>
                  <w:pPr>
                    <w:pStyle w:val="Compact"/>
                    <w:jc w:val="left"/>
                    <w:jc w:val="center"/>
                  </w:pPr>
                  <w:r>
                    <w:t xml:space="preserve">Source</w:t>
                  </w:r>
                </w:p>
              </w:tc>
            </w:tr>
            <w:tr>
              <w:tc>
                <w:tcPr>
                  <w:gridSpan w:val="3"/>
                </w:tcPr>
                <w:p>
                  <w:pPr>
                    <w:pStyle w:val="Compact"/>
                    <w:jc w:val="left"/>
                    <w:jc w:val="center"/>
                  </w:pPr>
                  <w:r>
                    <w:t xml:space="preserve">Democratic backsliding</w:t>
                  </w:r>
                </w:p>
              </w:tc>
            </w:tr>
            <w:tr>
              <w:tc>
                <w:tcPr/>
                <w:p>
                  <w:pPr>
                    <w:pStyle w:val="Compact"/>
                    <w:jc w:val="left"/>
                    <w:jc w:val="center"/>
                  </w:pPr>
                  <w:r>
                    <w:t xml:space="preserve">Pandemic Backsliding Index (PanBack)</w:t>
                  </w:r>
                </w:p>
              </w:tc>
              <w:tc>
                <w:tcPr/>
                <w:p>
                  <w:pPr>
                    <w:pStyle w:val="Compact"/>
                    <w:jc w:val="left"/>
                    <w:jc w:val="center"/>
                  </w:pPr>
                  <w:r>
                    <w:t xml:space="preserve">0–1; higher values represent greater risk of backsliding; ≥ 0.3 considered high risk</w:t>
                  </w:r>
                </w:p>
              </w:tc>
              <w:tc>
                <w:tcPr/>
                <w:p>
                  <w:pPr>
                    <w:pStyle w:val="Compact"/>
                    <w:jc w:val="left"/>
                    <w:jc w:val="center"/>
                  </w:pPr>
                  <w:r>
                    <w:t xml:space="preserve">Varieties of Democracy PanDem</w:t>
                  </w:r>
                </w:p>
              </w:tc>
            </w:tr>
            <w:tr>
              <w:tc>
                <w:tcPr>
                  <w:gridSpan w:val="3"/>
                </w:tcPr>
                <w:p>
                  <w:pPr>
                    <w:pStyle w:val="Compact"/>
                    <w:jc w:val="left"/>
                    <w:jc w:val="center"/>
                  </w:pPr>
                  <w:r>
                    <w:t xml:space="preserve">Treaty activity</w:t>
                  </w:r>
                </w:p>
              </w:tc>
            </w:tr>
            <w:tr>
              <w:tc>
                <w:tcPr/>
                <w:p>
                  <w:pPr>
                    <w:pStyle w:val="Compact"/>
                    <w:jc w:val="left"/>
                    <w:jc w:val="center"/>
                  </w:pPr>
                  <w:r>
                    <w:t xml:space="preserve">ICCPR derogation</w:t>
                  </w:r>
                </w:p>
              </w:tc>
              <w:tc>
                <w:tcPr/>
                <w:p>
                  <w:pPr>
                    <w:pStyle w:val="Compact"/>
                    <w:jc w:val="left"/>
                    <w:jc w:val="center"/>
                  </w:pPr>
                  <w:r>
                    <w:t xml:space="preserve">Binary indicator</w:t>
                  </w:r>
                </w:p>
              </w:tc>
              <w:tc>
                <w:tcPr/>
                <w:p>
                  <w:pPr>
                    <w:pStyle w:val="Compact"/>
                    <w:jc w:val="left"/>
                    <w:jc w:val="center"/>
                  </w:pPr>
                  <w:r>
                    <w:t xml:space="preserve">UN Treaty Collection</w:t>
                  </w:r>
                </w:p>
              </w:tc>
            </w:tr>
            <w:tr>
              <w:tc>
                <w:tcPr>
                  <w:gridSpan w:val="3"/>
                </w:tcPr>
                <w:p>
                  <w:pPr>
                    <w:pStyle w:val="Compact"/>
                    <w:jc w:val="left"/>
                    <w:jc w:val="center"/>
                  </w:pPr>
                  <w:r>
                    <w:t xml:space="preserve">Other variables</w:t>
                  </w:r>
                </w:p>
              </w:tc>
            </w:tr>
            <w:tr>
              <w:tc>
                <w:tcPr/>
                <w:p>
                  <w:pPr>
                    <w:pStyle w:val="Compact"/>
                    <w:jc w:val="left"/>
                    <w:jc w:val="center"/>
                  </w:pPr>
                  <w:r>
                    <w:t xml:space="preserve">New and cumulative COVID deaths and cases</w:t>
                  </w:r>
                </w:p>
              </w:tc>
              <w:tc>
                <w:tcPr/>
                <w:p>
                  <w:pPr>
                    <w:pStyle w:val="Compact"/>
                    <w:jc w:val="left"/>
                    <w:jc w:val="center"/>
                  </w:pPr>
                  <w:r>
                    <w:t xml:space="preserve">Counts</w:t>
                  </w:r>
                </w:p>
              </w:tc>
              <w:tc>
                <w:tcPr/>
                <w:p>
                  <w:pPr>
                    <w:pStyle w:val="Compact"/>
                    <w:jc w:val="left"/>
                    <w:jc w:val="center"/>
                  </w:pPr>
                  <w:r>
                    <w:t xml:space="preserve">World Health Organization</w:t>
                  </w:r>
                </w:p>
              </w:tc>
            </w:tr>
            <w:tr>
              <w:tc>
                <w:tcPr/>
                <w:p>
                  <w:pPr>
                    <w:pStyle w:val="Compact"/>
                    <w:jc w:val="left"/>
                    <w:jc w:val="center"/>
                  </w:pPr>
                  <w:r>
                    <w:t xml:space="preserve">Rule of law index</w:t>
                  </w:r>
                </w:p>
              </w:tc>
              <w:tc>
                <w:tcPr/>
                <w:p>
                  <w:pPr>
                    <w:pStyle w:val="Compact"/>
                    <w:jc w:val="left"/>
                    <w:jc w:val="center"/>
                  </w:pPr>
                  <w:r>
                    <w:t xml:space="preserve">0–1; higher values represent greater respect for rule of law</w:t>
                  </w:r>
                </w:p>
              </w:tc>
              <w:tc>
                <w:tcPr/>
                <w:p>
                  <w:pPr>
                    <w:pStyle w:val="Compact"/>
                    <w:jc w:val="left"/>
                    <w:jc w:val="center"/>
                  </w:pPr>
                  <w:r>
                    <w:t xml:space="preserve">Varieties of Democracy</w:t>
                  </w:r>
                </w:p>
              </w:tc>
            </w:tr>
            <w:tr>
              <w:tc>
                <w:tcPr/>
                <w:p>
                  <w:pPr>
                    <w:pStyle w:val="Compact"/>
                    <w:jc w:val="left"/>
                    <w:jc w:val="center"/>
                  </w:pPr>
                  <w:r>
                    <w:t xml:space="preserve">Emergency public health measures</w:t>
                  </w:r>
                </w:p>
              </w:tc>
              <w:tc>
                <w:tcPr/>
                <w:p>
                  <w:pPr>
                    <w:pStyle w:val="Compact"/>
                    <w:jc w:val="left"/>
                    <w:jc w:val="center"/>
                  </w:pPr>
                  <w:r>
                    <w:t xml:space="preserve">Binary indicator</w:t>
                  </w:r>
                </w:p>
              </w:tc>
              <w:tc>
                <w:tcPr/>
                <w:p>
                  <w:pPr>
                    <w:pStyle w:val="Compact"/>
                    <w:jc w:val="left"/>
                    <w:jc w:val="center"/>
                  </w:pPr>
                  <w:r>
                    <w:t xml:space="preserve">Oxford COVID-19 Government Response Tracker</w:t>
                  </w:r>
                </w:p>
              </w:tc>
            </w:tr>
            <w:tr>
              <w:tc>
                <w:tcPr/>
                <w:p>
                  <w:pPr>
                    <w:pStyle w:val="Compact"/>
                    <w:jc w:val="left"/>
                    <w:jc w:val="center"/>
                  </w:pPr>
                  <w:r>
                    <w:t xml:space="preserve">Human rights and policy outcomes</w:t>
                  </w:r>
                </w:p>
              </w:tc>
              <w:tc>
                <w:tcPr/>
                <w:p>
                  <w:pPr>
                    <w:pStyle w:val="Compact"/>
                    <w:jc w:val="left"/>
                    <w:jc w:val="center"/>
                  </w:pPr>
                  <w:r>
                    <w:t xml:space="preserve">Ordered categories for the severity of abuses</w:t>
                  </w:r>
                </w:p>
              </w:tc>
              <w:tc>
                <w:tcPr/>
                <w:p>
                  <w:pPr>
                    <w:pStyle w:val="Compact"/>
                    <w:jc w:val="left"/>
                    <w:jc w:val="center"/>
                  </w:pPr>
                  <w:r>
                    <w:t xml:space="preserve">Varieties of Democracy PanDem</w:t>
                  </w:r>
                </w:p>
              </w:tc>
            </w:tr>
          </w:tbl>
          <w:bookmarkEnd w:id="20"/>
          <w:p/>
        </w:tc>
      </w:tr>
    </w:tbl>
    <w:bookmarkEnd w:id="21"/>
    <w:bookmarkStart w:id="27" w:name="modeling-approach"/>
    <w:p>
      <w:pPr>
        <w:pStyle w:val="Heading1"/>
      </w:pPr>
      <w:r>
        <w:t xml:space="preserve">Modeling approach</w:t>
      </w:r>
    </w:p>
    <w:p>
      <w:pPr>
        <w:pStyle w:val="FirstParagraph"/>
      </w:pPr>
      <w:r>
        <w:t xml:space="preserve">We use Stan 2.36.0</w:t>
      </w:r>
      <w:r>
        <w:t xml:space="preserve"> </w:t>
      </w:r>
      <w:r>
        <w:t xml:space="preserve">(</w:t>
      </w:r>
      <w:hyperlink w:anchor="ref-stan">
        <w:r>
          <w:rPr>
            <w:rStyle w:val="Hyperlink"/>
          </w:rPr>
          <w:t xml:space="preserve">Stan Development Team, 2023</w:t>
        </w:r>
      </w:hyperlink>
      <w:r>
        <w:t xml:space="preserve">)</w:t>
      </w:r>
      <w:r>
        <w:t xml:space="preserve"> </w:t>
      </w:r>
      <w:r>
        <w:t xml:space="preserve">through R 4.4.1</w:t>
      </w:r>
      <w:r>
        <w:t xml:space="preserve"> </w:t>
      </w:r>
      <w:r>
        <w:t xml:space="preserve">(</w:t>
      </w:r>
      <w:hyperlink w:anchor="ref-rproject-4-4-0">
        <w:r>
          <w:rPr>
            <w:rStyle w:val="Hyperlink"/>
          </w:rPr>
          <w:t xml:space="preserve">R Core Team, 2024</w:t>
        </w:r>
      </w:hyperlink>
      <w:r>
        <w:t xml:space="preserve">)</w:t>
      </w:r>
      <w:r>
        <w:t xml:space="preserve"> </w:t>
      </w:r>
      <w:r>
        <w:t xml:space="preserve">and {brms} 2.21.0</w:t>
      </w:r>
      <w:r>
        <w:t xml:space="preserve"> </w:t>
      </w:r>
      <w:r>
        <w:t xml:space="preserve">(</w:t>
      </w:r>
      <w:hyperlink w:anchor="ref-Burkner:2017">
        <w:r>
          <w:rPr>
            <w:rStyle w:val="Hyperlink"/>
          </w:rPr>
          <w:t xml:space="preserve">Bürkner, 2017</w:t>
        </w:r>
      </w:hyperlink>
      <w:r>
        <w:t xml:space="preserve">)</w:t>
      </w:r>
      <w:r>
        <w:t xml:space="preserve"> </w:t>
      </w:r>
      <w:r>
        <w:t xml:space="preserve">to estimate our models. We generate 4 MCMC chains for each model with 2,000 iterations in each chain, 1,000 of which are used for warmup. All chains converge; we assess convergence with visual inspection. Complete results from all the models, along with posterior predictive checks, goodness-of-fit measures, and prediction diagnostics are all available at a companion statistical analysis compendium at</w:t>
      </w:r>
      <w:r>
        <w:t xml:space="preserve"> </w:t>
      </w:r>
      <w:hyperlink r:id="rId22">
        <w:r>
          <w:rPr>
            <w:rStyle w:val="Hyperlink"/>
          </w:rPr>
          <w:t xml:space="preserve">https://doi.org/10.17605/OSF.IO/ANONYMIZED-FOR-NOW</w:t>
        </w:r>
      </w:hyperlink>
      <w:r>
        <w:t xml:space="preserve">.</w:t>
      </w:r>
    </w:p>
    <w:p>
      <w:pPr>
        <w:pStyle w:val="BodyText"/>
      </w:pPr>
      <w:r>
        <w:t xml:space="preserve">We use weakly informative priors</w:t>
      </w:r>
      <w:r>
        <w:t xml:space="preserve"> </w:t>
      </w:r>
      <w:r>
        <w:t xml:space="preserve">(</w:t>
      </w:r>
      <w:hyperlink w:anchor="ref-GelmanJakulinPittau:2008">
        <w:r>
          <w:rPr>
            <w:rStyle w:val="Hyperlink"/>
          </w:rPr>
          <w:t xml:space="preserve">Gelman et al., 2008</w:t>
        </w:r>
      </w:hyperlink>
      <w:r>
        <w:t xml:space="preserve">)</w:t>
      </w:r>
      <w:r>
        <w:t xml:space="preserve"> </w:t>
      </w:r>
      <w:r>
        <w:t xml:space="preserve">for our logistic and ordered logistic regression models. For consistency with prior specification, and for computation efficiency, we mean-center all nonbinary variables so that parameter estimates represent changes from the mean. For all</w:t>
      </w:r>
      <w:r>
        <w:t xml:space="preserve"> </w:t>
      </w:r>
      <m:oMath>
        <m:r>
          <m:t>β</m:t>
        </m:r>
      </m:oMath>
      <w:r>
        <w:t xml:space="preserve"> </w:t>
      </w:r>
      <w:r>
        <w:t xml:space="preserve">terms in each of the models, we use a Student t distribution with a mean of 0 and a standard deviation of 3 (see</w:t>
      </w:r>
      <w:r>
        <w:t xml:space="preserve"> </w:t>
      </w:r>
      <w:hyperlink w:anchor="appfig-prior">
        <w:r>
          <w:rPr>
            <w:rStyle w:val="Hyperlink"/>
          </w:rPr>
          <w:t xml:space="preserve">Figure A1</w:t>
        </w:r>
      </w:hyperlink>
      <w:r>
        <w:t xml:space="preserve">). This keeps most parameter estimates around −5 to 5, with thicker tails that allow for some possibility of extreme values. These priors give more weight to realistic areas of parameter values and downweight values in unrealistic spaces. For instance, since logit-scale coefficient values greater than 4 or 5 are highly unlikely, our Student t prior puts more weight on smaller values. Additionally, weakly informative priors allow reasonable and considerable uncertainty in possible parameter estimates.</w:t>
      </w:r>
    </w:p>
    <w:tbl>
      <w:tblPr>
        <w:tblStyle w:val="Table"/>
        <w:tblW w:type="pct" w:w="5000"/>
        <w:tblLayout w:type="fixed"/>
        <w:tblLook w:firstRow="0" w:lastRow="0" w:firstColumn="0" w:lastColumn="0" w:noHBand="0" w:noVBand="0" w:val="0000"/>
      </w:tblPr>
      <w:tblGrid>
        <w:gridCol w:w="7920"/>
      </w:tblGrid>
      <w:tr>
        <w:tc>
          <w:tcPr/>
          <w:bookmarkStart w:id="26" w:name="appfig-prior"/>
          <w:p>
            <w:pPr>
              <w:jc w:val="center"/>
            </w:pPr>
            <w:r>
              <w:drawing>
                <wp:inline>
                  <wp:extent cx="2971800" cy="2122714"/>
                  <wp:effectExtent b="0" l="0" r="0" t="0"/>
                  <wp:docPr descr="" title="" id="24" name="Picture"/>
                  <a:graphic>
                    <a:graphicData uri="http://schemas.openxmlformats.org/drawingml/2006/picture">
                      <pic:pic>
                        <pic:nvPicPr>
                          <pic:cNvPr descr="appendix_files/figure-docx/figure-prior-1.png" id="25" name="Picture"/>
                          <pic:cNvPicPr>
                            <a:picLocks noChangeArrowheads="1" noChangeAspect="1"/>
                          </pic:cNvPicPr>
                        </pic:nvPicPr>
                        <pic:blipFill>
                          <a:blip r:embed="rId23"/>
                          <a:stretch>
                            <a:fillRect/>
                          </a:stretch>
                        </pic:blipFill>
                        <pic:spPr bwMode="auto">
                          <a:xfrm>
                            <a:off x="0" y="0"/>
                            <a:ext cx="2971800" cy="2122714"/>
                          </a:xfrm>
                          <a:prstGeom prst="rect">
                            <a:avLst/>
                          </a:prstGeom>
                          <a:noFill/>
                          <a:ln w="9525">
                            <a:noFill/>
                            <a:headEnd/>
                            <a:tailEnd/>
                          </a:ln>
                        </pic:spPr>
                      </pic:pic>
                    </a:graphicData>
                  </a:graphic>
                </wp:inline>
              </w:drawing>
            </w:r>
          </w:p>
          <w:p>
            <w:pPr>
              <w:jc w:val="center"/>
            </w:pPr>
            <w:pPr>
              <w:jc w:val="start"/>
              <w:spacing w:before="200"/>
              <w:pStyle w:val="ImageCaption"/>
            </w:pPr>
            <w:r>
              <w:t xml:space="preserve">Figure A1: Density plot of prior distribution for model parameters</w:t>
            </w:r>
          </w:p>
          <w:bookmarkEnd w:id="26"/>
        </w:tc>
      </w:tr>
    </w:tbl>
    <w:p>
      <w:r>
        <w:br w:type="page"/>
      </w:r>
    </w:p>
    <w:bookmarkEnd w:id="27"/>
    <w:bookmarkStart w:id="43" w:name="complete-model-results"/>
    <w:p>
      <w:pPr>
        <w:pStyle w:val="Heading1"/>
      </w:pPr>
      <w:r>
        <w:t xml:space="preserve">Complete model results</w:t>
      </w:r>
    </w:p>
    <w:p>
      <w:pPr>
        <w:pStyle w:val="FirstParagraph"/>
      </w:pPr>
      <w:r>
        <w:t xml:space="preserve">The actual R code for these models is included in the replication code at</w:t>
      </w:r>
      <w:r>
        <w:t xml:space="preserve"> </w:t>
      </w:r>
      <w:hyperlink r:id="rId22">
        <w:r>
          <w:rPr>
            <w:rStyle w:val="Hyperlink"/>
          </w:rPr>
          <w:t xml:space="preserve">https://doi.org/10.17605/OSF.IO/ANONYMIZED-FOR-NOW</w:t>
        </w:r>
      </w:hyperlink>
      <w:r>
        <w:t xml:space="preserve">. We include a simplified representation of the {brms}</w:t>
      </w:r>
      <w:r>
        <w:t xml:space="preserve"> </w:t>
      </w:r>
      <w:r>
        <w:t xml:space="preserve">(</w:t>
      </w:r>
      <w:hyperlink w:anchor="ref-Burkner:2017">
        <w:r>
          <w:rPr>
            <w:rStyle w:val="Hyperlink"/>
          </w:rPr>
          <w:t xml:space="preserve">Bürkner, 2017</w:t>
        </w:r>
      </w:hyperlink>
      <w:r>
        <w:t xml:space="preserve">)</w:t>
      </w:r>
      <w:r>
        <w:t xml:space="preserve"> </w:t>
      </w:r>
      <w:r>
        <w:t xml:space="preserve">model code in each section below.</w:t>
      </w:r>
    </w:p>
    <w:bookmarkStart w:id="32" w:name="explaining-covid-19-derogations"/>
    <w:p>
      <w:pPr>
        <w:pStyle w:val="Heading2"/>
      </w:pPr>
      <w:r>
        <w:t xml:space="preserve">Explaining COVID-19 derogations</w:t>
      </w:r>
    </w:p>
    <w:bookmarkStart w:id="28" w:name="formal-model-specification"/>
    <w:p>
      <w:pPr>
        <w:pStyle w:val="Heading3"/>
      </w:pPr>
      <w:r>
        <w:t xml:space="preserve">Formal model specification</w:t>
      </w:r>
    </w:p>
    <w:p>
      <w:pPr>
        <w:pStyle w:val="FirstParagraph"/>
      </w:pPr>
      <w:r>
        <w:t xml:space="preserve">$$
\begin{aligned}
&amp;\ \mathrlap{\textbf{Binary outcome $i$ across week $t$}} \\
\text{Treaty action}_{it_j} \sim&amp;\ \operatorname{Bernoulli}(\pi_{it_j}) \\[0.75em]
&amp;\ \textbf{Distribution parameters} \\
\pi_{it} =&amp;\ \beta_0 + \beta_1\ \text{PanBack}_{it} + \\
&amp;\ \beta_2\ \text{New cases}_{it}\ + \beta_3\ \text{Cumulative cases}_{it}\ + \\
&amp;\ \beta_4\ \text{New deaths}_{it}\ + \beta_5\ \text{Cumulative deaths}_{it}\ + \\
&amp;\ \beta_6\ \text{Rule of law index}_{it}\ + \beta_7\ \text{Week number}_{it} \\[0.75em]
&amp;\ \textbf{Priors} \\
\beta_{0 \dots 7} \sim&amp;\ \operatorname{Student\ t}(\nu = 1, \mu = 0, \sigma = 3)
\end{aligned}
$$</w:t>
      </w:r>
    </w:p>
    <w:bookmarkEnd w:id="28"/>
    <w:bookmarkStart w:id="29" w:name="simplified-r-code"/>
    <w:p>
      <w:pPr>
        <w:pStyle w:val="Heading3"/>
      </w:pPr>
      <w:r>
        <w:t xml:space="preserve">Simplified R code</w:t>
      </w:r>
    </w:p>
    <w:p>
      <w:pPr>
        <w:pStyle w:val="SourceCode"/>
      </w:pPr>
      <w:r>
        <w:rPr>
          <w:rStyle w:val="FunctionTok"/>
        </w:rPr>
        <w:t xml:space="preserve">brm</w:t>
      </w:r>
      <w:r>
        <w:rPr>
          <w:rStyle w:val="NormalTok"/>
        </w:rPr>
        <w:t xml:space="preserve">(</w:t>
      </w:r>
      <w:r>
        <w:br/>
      </w:r>
      <w:r>
        <w:rPr>
          <w:rStyle w:val="NormalTok"/>
        </w:rPr>
        <w:t xml:space="preserve">  </w:t>
      </w:r>
      <w:r>
        <w:rPr>
          <w:rStyle w:val="FunctionTok"/>
        </w:rPr>
        <w:t xml:space="preserve">bf</w:t>
      </w:r>
      <w:r>
        <w:rPr>
          <w:rStyle w:val="NormalTok"/>
        </w:rPr>
        <w:t xml:space="preserve">(outcome </w:t>
      </w:r>
      <w:r>
        <w:rPr>
          <w:rStyle w:val="SpecialCharTok"/>
        </w:rPr>
        <w:t xml:space="preserve">~</w:t>
      </w:r>
      <w:r>
        <w:rPr>
          <w:rStyle w:val="NormalTok"/>
        </w:rPr>
        <w:t xml:space="preserve"> panback </w:t>
      </w:r>
      <w:r>
        <w:rPr>
          <w:rStyle w:val="SpecialCharTok"/>
        </w:rPr>
        <w:t xml:space="preserve">+</w:t>
      </w:r>
      <w:r>
        <w:br/>
      </w:r>
      <w:r>
        <w:rPr>
          <w:rStyle w:val="NormalTok"/>
        </w:rPr>
        <w:t xml:space="preserve">      new_cases_z </w:t>
      </w:r>
      <w:r>
        <w:rPr>
          <w:rStyle w:val="SpecialCharTok"/>
        </w:rPr>
        <w:t xml:space="preserve">+</w:t>
      </w:r>
      <w:r>
        <w:rPr>
          <w:rStyle w:val="NormalTok"/>
        </w:rPr>
        <w:t xml:space="preserve"> cumulative_cases_z </w:t>
      </w:r>
      <w:r>
        <w:rPr>
          <w:rStyle w:val="SpecialCharTok"/>
        </w:rPr>
        <w:t xml:space="preserve">+</w:t>
      </w:r>
      <w:r>
        <w:br/>
      </w:r>
      <w:r>
        <w:rPr>
          <w:rStyle w:val="NormalTok"/>
        </w:rPr>
        <w:t xml:space="preserve">      new_deaths_z </w:t>
      </w:r>
      <w:r>
        <w:rPr>
          <w:rStyle w:val="SpecialCharTok"/>
        </w:rPr>
        <w:t xml:space="preserve">+</w:t>
      </w:r>
      <w:r>
        <w:rPr>
          <w:rStyle w:val="NormalTok"/>
        </w:rPr>
        <w:t xml:space="preserve"> cumulative_deaths_z </w:t>
      </w:r>
      <w:r>
        <w:rPr>
          <w:rStyle w:val="SpecialCharTok"/>
        </w:rPr>
        <w:t xml:space="preserve">+</w:t>
      </w:r>
      <w:r>
        <w:br/>
      </w:r>
      <w:r>
        <w:rPr>
          <w:rStyle w:val="NormalTok"/>
        </w:rPr>
        <w:t xml:space="preserve">      v2x_rule </w:t>
      </w:r>
      <w:r>
        <w:rPr>
          <w:rStyle w:val="SpecialCharTok"/>
        </w:rPr>
        <w:t xml:space="preserve">+</w:t>
      </w:r>
      <w:r>
        <w:rPr>
          <w:rStyle w:val="NormalTok"/>
        </w:rPr>
        <w:t xml:space="preserve"> year_week_num),</w:t>
      </w:r>
      <w:r>
        <w:br/>
      </w:r>
      <w:r>
        <w:rPr>
          <w:rStyle w:val="NormalTok"/>
        </w:rPr>
        <w:t xml:space="preserve">  </w:t>
      </w:r>
      <w:r>
        <w:rPr>
          <w:rStyle w:val="AttributeTok"/>
        </w:rPr>
        <w:t xml:space="preserve">family =</w:t>
      </w:r>
      <w:r>
        <w:rPr>
          <w:rStyle w:val="NormalTok"/>
        </w:rPr>
        <w:t xml:space="preserve"> </w:t>
      </w:r>
      <w:r>
        <w:rPr>
          <w:rStyle w:val="FunctionTok"/>
        </w:rPr>
        <w:t xml:space="preserve">bernoulli</w:t>
      </w:r>
      <w:r>
        <w:rPr>
          <w:rStyle w:val="NormalTok"/>
        </w:rPr>
        <w:t xml:space="preserve">(),</w:t>
      </w:r>
      <w:r>
        <w:br/>
      </w:r>
      <w:r>
        <w:rPr>
          <w:rStyle w:val="NormalTok"/>
        </w:rPr>
        <w:t xml:space="preserve">  </w:t>
      </w:r>
      <w:r>
        <w:rPr>
          <w:rStyle w:val="AttributeTok"/>
        </w:rPr>
        <w:t xml:space="preserve">prior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Intercept),</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b)),</w:t>
      </w:r>
      <w:r>
        <w:br/>
      </w:r>
      <w:r>
        <w:rPr>
          <w:rStyle w:val="NormalTok"/>
        </w:rPr>
        <w:t xml:space="preserve">  ...</w:t>
      </w:r>
      <w:r>
        <w:br/>
      </w:r>
      <w:r>
        <w:rPr>
          <w:rStyle w:val="NormalTok"/>
        </w:rPr>
        <w:t xml:space="preserve">)</w:t>
      </w:r>
    </w:p>
    <w:bookmarkEnd w:id="29"/>
    <w:bookmarkStart w:id="31" w:name="complete-results"/>
    <w:p>
      <w:pPr>
        <w:pStyle w:val="Heading3"/>
      </w:pPr>
      <w:r>
        <w:t xml:space="preserve">Complete results</w:t>
      </w:r>
    </w:p>
    <w:tbl>
      <w:tblPr>
        <w:tblStyle w:val="Table"/>
        <w:tblW w:type="pct" w:w="5000"/>
        <w:tblLayout w:type="fixed"/>
        <w:tblLook w:firstRow="0" w:lastRow="0" w:firstColumn="0" w:lastColumn="0" w:noHBand="0" w:noVBand="0" w:val="0000"/>
      </w:tblPr>
      <w:tblGrid>
        <w:gridCol w:w="7920"/>
      </w:tblGrid>
      <w:tr>
        <w:tc>
          <w:tcPr/>
          <w:bookmarkStart w:id="30" w:name="apptbl-results-full-derogations"/>
          <w:p>
            <w:pPr>
              <w:jc w:val="center"/>
            </w:pPr>
            <w:pPr>
              <w:jc w:val="start"/>
              <w:spacing w:before="200"/>
              <w:pStyle w:val="ImageCaption"/>
            </w:pPr>
            <w:r>
              <w:t xml:space="preserve">Table A2: Complete results from models showing predictors of derogations (H</w:t>
            </w:r>
            <w:r>
              <w:rPr>
                <w:vertAlign w:val="subscript"/>
              </w:rPr>
              <w:t xml:space="preserve">1</w:t>
            </w:r>
            <w:r>
              <w:t xml:space="preserve">)</w:t>
            </w:r>
          </w:p>
          <w:tbl>
            <w:tblPr>
              <w:tblStyle w:val="Table"/>
              <w:tblW w:type="pct" w:w="4935"/>
              <w:tblLayout w:type="fixed"/>
              <w:tblLook w:firstRow="1" w:lastRow="1" w:firstColumn="0" w:lastColumn="0" w:noHBand="0" w:noVBand="0" w:val="0020"/>
            </w:tblPr>
            <w:tblGrid>
              <w:gridCol w:w="3600"/>
              <w:gridCol w:w="2160"/>
              <w:gridCol w:w="2057"/>
            </w:tblGrid>
            <w:tr>
              <w:trPr>
                <w:tblHeader w:val="on"/>
              </w:trPr>
              <w:tc>
                <w:tcPr/>
                <w:p>
                  <w:pPr>
                    <w:pStyle w:val="Compact"/>
                  </w:pPr>
                </w:p>
              </w:tc>
              <w:tc>
                <w:tcPr>
                  <w:gridSpan w:val="2"/>
                </w:tcPr>
                <w:p>
                  <w:pPr>
                    <w:pStyle w:val="Compact"/>
                    <w:jc w:val="left"/>
                    <w:jc w:val="center"/>
                  </w:pPr>
                  <w:r>
                    <w:t xml:space="preserve">ICCPR action</w:t>
                  </w:r>
                </w:p>
              </w:tc>
            </w:tr>
            <w:tr>
              <w:trPr>
                <w:tblHeader w:val="on"/>
              </w:trPr>
              <w:tc>
                <w:tcPr/>
                <w:p>
                  <w:pPr>
                    <w:pStyle w:val="Compact"/>
                  </w:pPr>
                </w:p>
              </w:tc>
              <w:tc>
                <w:tcPr/>
                <w:p>
                  <w:pPr>
                    <w:pStyle w:val="Compact"/>
                    <w:jc w:val="left"/>
                    <w:jc w:val="center"/>
                  </w:pPr>
                  <w:r>
                    <w:t xml:space="preserve">Derogation filed</w:t>
                  </w:r>
                </w:p>
              </w:tc>
              <w:tc>
                <w:tcPr/>
                <w:p>
                  <w:pPr>
                    <w:pStyle w:val="Compact"/>
                    <w:jc w:val="left"/>
                    <w:jc w:val="center"/>
                  </w:pPr>
                  <w:r>
                    <w:t xml:space="preserve">Other action</w:t>
                  </w:r>
                </w:p>
              </w:tc>
            </w:tr>
            <w:tr>
              <w:tc>
                <w:tcPr/>
                <w:p>
                  <w:pPr>
                    <w:pStyle w:val="Compact"/>
                    <w:jc w:val="left"/>
                    <w:jc w:val="center"/>
                  </w:pPr>
                  <w:r>
                    <w:t xml:space="preserve">Pandemic backsliding (PanBack)</w:t>
                  </w:r>
                </w:p>
              </w:tc>
              <w:tc>
                <w:tcPr/>
                <w:p>
                  <w:pPr>
                    <w:pStyle w:val="Compact"/>
                    <w:jc w:val="left"/>
                    <w:jc w:val="center"/>
                  </w:pPr>
                  <w:r>
                    <w:t xml:space="preserve">1.35</w:t>
                  </w:r>
                </w:p>
              </w:tc>
              <w:tc>
                <w:tcPr/>
                <w:p>
                  <w:pPr>
                    <w:pStyle w:val="Compact"/>
                    <w:jc w:val="left"/>
                    <w:jc w:val="center"/>
                  </w:pPr>
                  <w:r>
                    <w:t xml:space="preserve">-2.5</w:t>
                  </w:r>
                </w:p>
              </w:tc>
            </w:tr>
            <w:tr>
              <w:tc>
                <w:tcPr/>
                <w:p>
                  <w:pPr>
                    <w:pStyle w:val="Compact"/>
                  </w:pPr>
                </w:p>
              </w:tc>
              <w:tc>
                <w:tcPr/>
                <w:p>
                  <w:pPr>
                    <w:pStyle w:val="Compact"/>
                    <w:jc w:val="left"/>
                    <w:jc w:val="center"/>
                  </w:pPr>
                  <w:r>
                    <w:t xml:space="preserve">[-0.44, 3.11]</w:t>
                  </w:r>
                </w:p>
              </w:tc>
              <w:tc>
                <w:tcPr/>
                <w:p>
                  <w:pPr>
                    <w:pStyle w:val="Compact"/>
                    <w:jc w:val="left"/>
                    <w:jc w:val="center"/>
                  </w:pPr>
                  <w:r>
                    <w:t xml:space="preserve">[-8.0, 1.9]</w:t>
                  </w:r>
                </w:p>
              </w:tc>
            </w:tr>
            <w:tr>
              <w:tc>
                <w:tcPr/>
                <w:p>
                  <w:pPr>
                    <w:pStyle w:val="Compact"/>
                    <w:jc w:val="left"/>
                    <w:jc w:val="center"/>
                  </w:pPr>
                  <w:r>
                    <w:t xml:space="preserve">New cases (standardized)</w:t>
                  </w:r>
                </w:p>
              </w:tc>
              <w:tc>
                <w:tcPr/>
                <w:p>
                  <w:pPr>
                    <w:pStyle w:val="Compact"/>
                    <w:jc w:val="left"/>
                    <w:jc w:val="center"/>
                  </w:pPr>
                  <w:r>
                    <w:t xml:space="preserve">-1.41</w:t>
                  </w:r>
                </w:p>
              </w:tc>
              <w:tc>
                <w:tcPr/>
                <w:p>
                  <w:pPr>
                    <w:pStyle w:val="Compact"/>
                    <w:jc w:val="left"/>
                    <w:jc w:val="center"/>
                  </w:pPr>
                  <w:r>
                    <w:t xml:space="preserve">-0.47</w:t>
                  </w:r>
                </w:p>
              </w:tc>
            </w:tr>
            <w:tr>
              <w:tc>
                <w:tcPr/>
                <w:p>
                  <w:pPr>
                    <w:pStyle w:val="Compact"/>
                  </w:pPr>
                </w:p>
              </w:tc>
              <w:tc>
                <w:tcPr/>
                <w:p>
                  <w:pPr>
                    <w:pStyle w:val="Compact"/>
                    <w:jc w:val="left"/>
                    <w:jc w:val="center"/>
                  </w:pPr>
                  <w:r>
                    <w:t xml:space="preserve">[-3.41, 0.34]</w:t>
                  </w:r>
                </w:p>
              </w:tc>
              <w:tc>
                <w:tcPr/>
                <w:p>
                  <w:pPr>
                    <w:pStyle w:val="Compact"/>
                    <w:jc w:val="left"/>
                    <w:jc w:val="center"/>
                  </w:pPr>
                  <w:r>
                    <w:t xml:space="preserve">[-1.89, 0.65]</w:t>
                  </w:r>
                </w:p>
              </w:tc>
            </w:tr>
            <w:tr>
              <w:tc>
                <w:tcPr/>
                <w:p>
                  <w:pPr>
                    <w:pStyle w:val="Compact"/>
                    <w:jc w:val="left"/>
                    <w:jc w:val="center"/>
                  </w:pPr>
                  <w:r>
                    <w:t xml:space="preserve">New deaths (standardized)</w:t>
                  </w:r>
                </w:p>
              </w:tc>
              <w:tc>
                <w:tcPr/>
                <w:p>
                  <w:pPr>
                    <w:pStyle w:val="Compact"/>
                    <w:jc w:val="left"/>
                    <w:jc w:val="center"/>
                  </w:pPr>
                  <w:r>
                    <w:t xml:space="preserve">0.469</w:t>
                  </w:r>
                </w:p>
              </w:tc>
              <w:tc>
                <w:tcPr/>
                <w:p>
                  <w:pPr>
                    <w:pStyle w:val="Compact"/>
                    <w:jc w:val="left"/>
                    <w:jc w:val="center"/>
                  </w:pPr>
                  <w:r>
                    <w:t xml:space="preserve">-0.068</w:t>
                  </w:r>
                </w:p>
              </w:tc>
            </w:tr>
            <w:tr>
              <w:tc>
                <w:tcPr/>
                <w:p>
                  <w:pPr>
                    <w:pStyle w:val="Compact"/>
                  </w:pPr>
                </w:p>
              </w:tc>
              <w:tc>
                <w:tcPr/>
                <w:p>
                  <w:pPr>
                    <w:pStyle w:val="Compact"/>
                    <w:jc w:val="left"/>
                    <w:jc w:val="center"/>
                  </w:pPr>
                  <w:r>
                    <w:t xml:space="preserve">[0.027, 0.917]</w:t>
                  </w:r>
                </w:p>
              </w:tc>
              <w:tc>
                <w:tcPr/>
                <w:p>
                  <w:pPr>
                    <w:pStyle w:val="Compact"/>
                    <w:jc w:val="left"/>
                    <w:jc w:val="center"/>
                  </w:pPr>
                  <w:r>
                    <w:t xml:space="preserve">[-1.010, 0.745]</w:t>
                  </w:r>
                </w:p>
              </w:tc>
            </w:tr>
            <w:tr>
              <w:tc>
                <w:tcPr/>
                <w:p>
                  <w:pPr>
                    <w:pStyle w:val="Compact"/>
                    <w:jc w:val="left"/>
                    <w:jc w:val="center"/>
                  </w:pPr>
                  <w:r>
                    <w:t xml:space="preserve">Cumulative cases (standardized)</w:t>
                  </w:r>
                </w:p>
              </w:tc>
              <w:tc>
                <w:tcPr/>
                <w:p>
                  <w:pPr>
                    <w:pStyle w:val="Compact"/>
                    <w:jc w:val="left"/>
                    <w:jc w:val="center"/>
                  </w:pPr>
                  <w:r>
                    <w:t xml:space="preserve">-2.05</w:t>
                  </w:r>
                </w:p>
              </w:tc>
              <w:tc>
                <w:tcPr/>
                <w:p>
                  <w:pPr>
                    <w:pStyle w:val="Compact"/>
                    <w:jc w:val="left"/>
                    <w:jc w:val="center"/>
                  </w:pPr>
                  <w:r>
                    <w:t xml:space="preserve">-0.56</w:t>
                  </w:r>
                </w:p>
              </w:tc>
            </w:tr>
            <w:tr>
              <w:tc>
                <w:tcPr/>
                <w:p>
                  <w:pPr>
                    <w:pStyle w:val="Compact"/>
                  </w:pPr>
                </w:p>
              </w:tc>
              <w:tc>
                <w:tcPr/>
                <w:p>
                  <w:pPr>
                    <w:pStyle w:val="Compact"/>
                    <w:jc w:val="left"/>
                    <w:jc w:val="center"/>
                  </w:pPr>
                  <w:r>
                    <w:t xml:space="preserve">[-4.96, -0.17]</w:t>
                  </w:r>
                </w:p>
              </w:tc>
              <w:tc>
                <w:tcPr/>
                <w:p>
                  <w:pPr>
                    <w:pStyle w:val="Compact"/>
                    <w:jc w:val="left"/>
                    <w:jc w:val="center"/>
                  </w:pPr>
                  <w:r>
                    <w:t xml:space="preserve">[-1.41, 0.31]</w:t>
                  </w:r>
                </w:p>
              </w:tc>
            </w:tr>
            <w:tr>
              <w:tc>
                <w:tcPr/>
                <w:p>
                  <w:pPr>
                    <w:pStyle w:val="Compact"/>
                    <w:jc w:val="left"/>
                    <w:jc w:val="center"/>
                  </w:pPr>
                  <w:r>
                    <w:t xml:space="preserve">Cumulative deaths (standardized)</w:t>
                  </w:r>
                </w:p>
              </w:tc>
              <w:tc>
                <w:tcPr/>
                <w:p>
                  <w:pPr>
                    <w:pStyle w:val="Compact"/>
                    <w:jc w:val="left"/>
                    <w:jc w:val="center"/>
                  </w:pPr>
                  <w:r>
                    <w:t xml:space="preserve">1.03</w:t>
                  </w:r>
                </w:p>
              </w:tc>
              <w:tc>
                <w:tcPr/>
                <w:p>
                  <w:pPr>
                    <w:pStyle w:val="Compact"/>
                    <w:jc w:val="left"/>
                    <w:jc w:val="center"/>
                  </w:pPr>
                  <w:r>
                    <w:t xml:space="preserve">0.64</w:t>
                  </w:r>
                </w:p>
              </w:tc>
            </w:tr>
            <w:tr>
              <w:tc>
                <w:tcPr/>
                <w:p>
                  <w:pPr>
                    <w:pStyle w:val="Compact"/>
                  </w:pPr>
                </w:p>
              </w:tc>
              <w:tc>
                <w:tcPr/>
                <w:p>
                  <w:pPr>
                    <w:pStyle w:val="Compact"/>
                    <w:jc w:val="left"/>
                    <w:jc w:val="center"/>
                  </w:pPr>
                  <w:r>
                    <w:t xml:space="preserve">[0.45, 1.69]</w:t>
                  </w:r>
                </w:p>
              </w:tc>
              <w:tc>
                <w:tcPr/>
                <w:p>
                  <w:pPr>
                    <w:pStyle w:val="Compact"/>
                    <w:jc w:val="left"/>
                    <w:jc w:val="center"/>
                  </w:pPr>
                  <w:r>
                    <w:t xml:space="preserve">[-0.16, 1.34]</w:t>
                  </w:r>
                </w:p>
              </w:tc>
            </w:tr>
            <w:tr>
              <w:tc>
                <w:tcPr/>
                <w:p>
                  <w:pPr>
                    <w:pStyle w:val="Compact"/>
                    <w:jc w:val="left"/>
                    <w:jc w:val="center"/>
                  </w:pPr>
                  <w:r>
                    <w:t xml:space="preserve">Rule of law index</w:t>
                  </w:r>
                </w:p>
              </w:tc>
              <w:tc>
                <w:tcPr/>
                <w:p>
                  <w:pPr>
                    <w:pStyle w:val="Compact"/>
                    <w:jc w:val="left"/>
                    <w:jc w:val="center"/>
                  </w:pPr>
                  <w:r>
                    <w:t xml:space="preserve">0.45</w:t>
                  </w:r>
                </w:p>
              </w:tc>
              <w:tc>
                <w:tcPr/>
                <w:p>
                  <w:pPr>
                    <w:pStyle w:val="Compact"/>
                    <w:jc w:val="left"/>
                    <w:jc w:val="center"/>
                  </w:pPr>
                  <w:r>
                    <w:t xml:space="preserve">3.2</w:t>
                  </w:r>
                </w:p>
              </w:tc>
            </w:tr>
            <w:tr>
              <w:tc>
                <w:tcPr/>
                <w:p>
                  <w:pPr>
                    <w:pStyle w:val="Compact"/>
                  </w:pPr>
                </w:p>
              </w:tc>
              <w:tc>
                <w:tcPr/>
                <w:p>
                  <w:pPr>
                    <w:pStyle w:val="Compact"/>
                    <w:jc w:val="left"/>
                    <w:jc w:val="center"/>
                  </w:pPr>
                  <w:r>
                    <w:t xml:space="preserve">[-0.41, 1.26]</w:t>
                  </w:r>
                </w:p>
              </w:tc>
              <w:tc>
                <w:tcPr/>
                <w:p>
                  <w:pPr>
                    <w:pStyle w:val="Compact"/>
                    <w:jc w:val="left"/>
                    <w:jc w:val="center"/>
                  </w:pPr>
                  <w:r>
                    <w:t xml:space="preserve">[1.2, 5.5]</w:t>
                  </w:r>
                </w:p>
              </w:tc>
            </w:tr>
            <w:tr>
              <w:tc>
                <w:tcPr/>
                <w:p>
                  <w:pPr>
                    <w:pStyle w:val="Compact"/>
                    <w:jc w:val="left"/>
                    <w:jc w:val="center"/>
                  </w:pPr>
                  <w:r>
                    <w:t xml:space="preserve">Year-week number</w:t>
                  </w:r>
                </w:p>
              </w:tc>
              <w:tc>
                <w:tcPr/>
                <w:p>
                  <w:pPr>
                    <w:pStyle w:val="Compact"/>
                    <w:jc w:val="left"/>
                    <w:jc w:val="center"/>
                  </w:pPr>
                  <w:r>
                    <w:t xml:space="preserve">-0.0230</w:t>
                  </w:r>
                </w:p>
              </w:tc>
              <w:tc>
                <w:tcPr/>
                <w:p>
                  <w:pPr>
                    <w:pStyle w:val="Compact"/>
                    <w:jc w:val="left"/>
                    <w:jc w:val="center"/>
                  </w:pPr>
                  <w:r>
                    <w:t xml:space="preserve">0.0097</w:t>
                  </w:r>
                </w:p>
              </w:tc>
            </w:tr>
            <w:tr>
              <w:tc>
                <w:tcPr/>
                <w:p>
                  <w:pPr>
                    <w:pStyle w:val="Compact"/>
                  </w:pPr>
                </w:p>
              </w:tc>
              <w:tc>
                <w:tcPr/>
                <w:p>
                  <w:pPr>
                    <w:pStyle w:val="Compact"/>
                    <w:jc w:val="left"/>
                    <w:jc w:val="center"/>
                  </w:pPr>
                  <w:r>
                    <w:t xml:space="preserve">[-0.0369, -0.0089]</w:t>
                  </w:r>
                </w:p>
              </w:tc>
              <w:tc>
                <w:tcPr/>
                <w:p>
                  <w:pPr>
                    <w:pStyle w:val="Compact"/>
                    <w:jc w:val="left"/>
                    <w:jc w:val="center"/>
                  </w:pPr>
                  <w:r>
                    <w:t xml:space="preserve">[-0.0156, 0.0324]</w:t>
                  </w:r>
                </w:p>
              </w:tc>
            </w:tr>
            <w:tr>
              <w:tc>
                <w:tcPr/>
                <w:p>
                  <w:pPr>
                    <w:pStyle w:val="Compact"/>
                    <w:jc w:val="left"/>
                    <w:jc w:val="center"/>
                  </w:pPr>
                  <w:r>
                    <w:t xml:space="preserve">Intercept</w:t>
                  </w:r>
                </w:p>
              </w:tc>
              <w:tc>
                <w:tcPr/>
                <w:p>
                  <w:pPr>
                    <w:pStyle w:val="Compact"/>
                    <w:jc w:val="left"/>
                    <w:jc w:val="center"/>
                  </w:pPr>
                  <w:r>
                    <w:t xml:space="preserve">-5.1</w:t>
                  </w:r>
                </w:p>
              </w:tc>
              <w:tc>
                <w:tcPr/>
                <w:p>
                  <w:pPr>
                    <w:pStyle w:val="Compact"/>
                    <w:jc w:val="left"/>
                    <w:jc w:val="center"/>
                  </w:pPr>
                  <w:r>
                    <w:t xml:space="preserve">-8.6</w:t>
                  </w:r>
                </w:p>
              </w:tc>
            </w:tr>
            <w:tr>
              <w:tc>
                <w:tcPr/>
                <w:p>
                  <w:pPr>
                    <w:pStyle w:val="Compact"/>
                  </w:pPr>
                </w:p>
              </w:tc>
              <w:tc>
                <w:tcPr/>
                <w:p>
                  <w:pPr>
                    <w:pStyle w:val="Compact"/>
                    <w:jc w:val="left"/>
                    <w:jc w:val="center"/>
                  </w:pPr>
                  <w:r>
                    <w:t xml:space="preserve">[-5.9, -4.1]</w:t>
                  </w:r>
                </w:p>
              </w:tc>
              <w:tc>
                <w:tcPr/>
                <w:p>
                  <w:pPr>
                    <w:pStyle w:val="Compact"/>
                    <w:jc w:val="left"/>
                    <w:jc w:val="center"/>
                  </w:pPr>
                  <w:r>
                    <w:t xml:space="preserve">[-11.0, -6.5]</w:t>
                  </w:r>
                </w:p>
              </w:tc>
            </w:tr>
            <w:tr>
              <w:tc>
                <w:tcPr/>
                <w:p>
                  <w:pPr>
                    <w:pStyle w:val="Compact"/>
                    <w:jc w:val="left"/>
                    <w:jc w:val="center"/>
                  </w:pPr>
                  <w:r>
                    <w:t xml:space="preserve">N</w:t>
                  </w:r>
                </w:p>
              </w:tc>
              <w:tc>
                <w:tcPr/>
                <w:p>
                  <w:pPr>
                    <w:pStyle w:val="Compact"/>
                    <w:jc w:val="left"/>
                    <w:jc w:val="center"/>
                  </w:pPr>
                  <w:r>
                    <w:t xml:space="preserve">9591</w:t>
                  </w:r>
                </w:p>
              </w:tc>
              <w:tc>
                <w:tcPr/>
                <w:p>
                  <w:pPr>
                    <w:pStyle w:val="Compact"/>
                    <w:jc w:val="left"/>
                    <w:jc w:val="center"/>
                  </w:pPr>
                  <w:r>
                    <w:t xml:space="preserve">9591</w:t>
                  </w:r>
                </w:p>
              </w:tc>
            </w:tr>
            <w:tr>
              <w:tc>
                <w:tcPr/>
                <w:p>
                  <w:pPr>
                    <w:pStyle w:val="Compact"/>
                    <w:jc w:val="left"/>
                    <w:jc w:val="center"/>
                  </w:pPr>
                  <w:r>
                    <w:t xml:space="preserve">(R^2)</w:t>
                  </w:r>
                </w:p>
              </w:tc>
              <w:tc>
                <w:tcPr/>
                <w:p>
                  <w:pPr>
                    <w:pStyle w:val="Compact"/>
                    <w:jc w:val="left"/>
                    <w:jc w:val="center"/>
                  </w:pPr>
                  <w:r>
                    <w:t xml:space="preserve">0.01</w:t>
                  </w:r>
                </w:p>
              </w:tc>
              <w:tc>
                <w:tcPr/>
                <w:p>
                  <w:pPr>
                    <w:pStyle w:val="Compact"/>
                    <w:jc w:val="left"/>
                    <w:jc w:val="center"/>
                  </w:pPr>
                  <w:r>
                    <w:t xml:space="preserve">0.00</w:t>
                  </w:r>
                </w:p>
              </w:tc>
            </w:tr>
            <w:tr>
              <w:tc>
                <w:tcPr>
                  <w:gridSpan w:val="3"/>
                </w:tcPr>
                <w:p>
                  <w:pPr>
                    <w:pStyle w:val="Compact"/>
                    <w:jc w:val="left"/>
                    <w:jc w:val="center"/>
                  </w:pPr>
                  <w:r>
                    <w:t xml:space="preserve">Note: Estimates are median posterior log odds from logistic regression</w:t>
                  </w:r>
                  <w:r>
                    <w:t xml:space="preserve"> </w:t>
                  </w:r>
                  <w:r>
                    <w:t xml:space="preserve">models; 95% credible intervals (highest density posterior interval, or</w:t>
                  </w:r>
                  <w:r>
                    <w:t xml:space="preserve"> </w:t>
                  </w:r>
                  <w:r>
                    <w:t xml:space="preserve">HDPI) in brackets.</w:t>
                  </w:r>
                </w:p>
              </w:tc>
            </w:tr>
          </w:tbl>
          <w:bookmarkEnd w:id="30"/>
          <w:p/>
        </w:tc>
      </w:tr>
    </w:tbl>
    <w:p>
      <w:pPr>
        <w:pStyle w:val="BodyText"/>
      </w:pPr>
      <w:r>
        <w:t xml:space="preserve">Model 2 in</w:t>
      </w:r>
      <w:r>
        <w:t xml:space="preserve"> </w:t>
      </w:r>
      <w:hyperlink w:anchor="apptbl-results-full-derogations">
        <w:r>
          <w:rPr>
            <w:rStyle w:val="Hyperlink"/>
          </w:rPr>
          <w:t xml:space="preserve">Table A2</w:t>
        </w:r>
      </w:hyperlink>
      <w:r>
        <w:t xml:space="preserve"> </w:t>
      </w:r>
      <w:r>
        <w:t xml:space="preserve">presents the results of modeling the determinants of non-derogation treaty actions. This outcome is coded as 0 each country-week if a state did not issue one of these actions that week, and 1 that week if the state did. It is coded dichotomously rather than as a count because only three country-weeks non-derogation counts greater than 1 (these were country-weeks wherein Oman issued two, the UK two, and the UK three). The dichotomous coding also mirrors how we measured ICCPR derogation data in earlier models.</w:t>
      </w:r>
    </w:p>
    <w:bookmarkEnd w:id="31"/>
    <w:bookmarkEnd w:id="32"/>
    <w:bookmarkStart w:id="37" w:name="explaining-covid-19-restrictions"/>
    <w:p>
      <w:pPr>
        <w:pStyle w:val="Heading2"/>
      </w:pPr>
      <w:r>
        <w:t xml:space="preserve">Explaining COVID-19 restrictions</w:t>
      </w:r>
    </w:p>
    <w:bookmarkStart w:id="33" w:name="formal-model-specification-1"/>
    <w:p>
      <w:pPr>
        <w:pStyle w:val="Heading3"/>
      </w:pPr>
      <w:r>
        <w:t xml:space="preserve">Formal model specification</w:t>
      </w:r>
    </w:p>
    <w:p>
      <w:pPr>
        <w:pStyle w:val="FirstParagraph"/>
      </w:pPr>
      <w:r>
        <w:t xml:space="preserve">$$
\begin{aligned}
&amp;\ \mathrlap{\textbf{Model of outcome level $i$ across week $t$}} \\
\text{Outcome}_{it_j} \sim&amp;\ \operatorname{Ordered\ logit}(\phi_{it_j}, \alpha_k) \\[0.75em]
&amp;\ \textbf{Distribution parameters} \\
\phi_{it} =&amp;\ \beta_0 + \beta_1\ \text{PanBack (binary)}_{it} + \beta_2\ \text{Derogation in effect}_{it} + \\
&amp;\ \beta_3\ [\text{PanBack (binary)}_{it} \times \text{Derogation in effect}_{it}] + \\
&amp;\ \beta_4\ \text{New cases}_{it}\ + \beta_5\ \text{Cumulative cases}_{it}\ + \\
&amp;\ \beta_6\ \text{New deaths}_{it}\ + \beta_7\ \text{Cumulative deaths}_{it}\ + \\
&amp;\ \beta_8\ \text{Rule of law index}_{it}\ + \beta_9\ \text{Week number}_{it} \\[0.75em]
&amp;\ \textbf{Priors} \\
\beta_{0 \dots 9} \sim&amp;\ \operatorname{Student\ t}(\nu = 1, \mu = 0, \sigma = 3) \\
\alpha_k \sim&amp;\ \mathcal{N}(0, 1)
\end{aligned}
$$</w:t>
      </w:r>
    </w:p>
    <w:bookmarkEnd w:id="33"/>
    <w:bookmarkStart w:id="34" w:name="simplified-r-code-1"/>
    <w:p>
      <w:pPr>
        <w:pStyle w:val="Heading3"/>
      </w:pPr>
      <w:r>
        <w:t xml:space="preserve">Simplified R code</w:t>
      </w:r>
    </w:p>
    <w:p>
      <w:pPr>
        <w:pStyle w:val="SourceCode"/>
      </w:pPr>
      <w:r>
        <w:rPr>
          <w:rStyle w:val="FunctionTok"/>
        </w:rPr>
        <w:t xml:space="preserve">brm</w:t>
      </w:r>
      <w:r>
        <w:rPr>
          <w:rStyle w:val="NormalTok"/>
        </w:rPr>
        <w:t xml:space="preserve">(</w:t>
      </w:r>
      <w:r>
        <w:br/>
      </w:r>
      <w:r>
        <w:rPr>
          <w:rStyle w:val="NormalTok"/>
        </w:rPr>
        <w:t xml:space="preserve">  </w:t>
      </w:r>
      <w:r>
        <w:rPr>
          <w:rStyle w:val="FunctionTok"/>
        </w:rPr>
        <w:t xml:space="preserve">bf</w:t>
      </w:r>
      <w:r>
        <w:rPr>
          <w:rStyle w:val="NormalTok"/>
        </w:rPr>
        <w:t xml:space="preserve">(outcome </w:t>
      </w:r>
      <w:r>
        <w:rPr>
          <w:rStyle w:val="SpecialCharTok"/>
        </w:rPr>
        <w:t xml:space="preserve">~</w:t>
      </w:r>
      <w:r>
        <w:rPr>
          <w:rStyle w:val="NormalTok"/>
        </w:rPr>
        <w:t xml:space="preserve"> derogation_ineffect</w:t>
      </w:r>
      <w:r>
        <w:rPr>
          <w:rStyle w:val="SpecialCharTok"/>
        </w:rPr>
        <w:t xml:space="preserve">*</w:t>
      </w:r>
      <w:r>
        <w:rPr>
          <w:rStyle w:val="NormalTok"/>
        </w:rPr>
        <w:t xml:space="preserve">panbackdichot </w:t>
      </w:r>
      <w:r>
        <w:rPr>
          <w:rStyle w:val="SpecialCharTok"/>
        </w:rPr>
        <w:t xml:space="preserve">+</w:t>
      </w:r>
      <w:r>
        <w:br/>
      </w:r>
      <w:r>
        <w:rPr>
          <w:rStyle w:val="NormalTok"/>
        </w:rPr>
        <w:t xml:space="preserve">      new_cases_z </w:t>
      </w:r>
      <w:r>
        <w:rPr>
          <w:rStyle w:val="SpecialCharTok"/>
        </w:rPr>
        <w:t xml:space="preserve">+</w:t>
      </w:r>
      <w:r>
        <w:rPr>
          <w:rStyle w:val="NormalTok"/>
        </w:rPr>
        <w:t xml:space="preserve"> cumulative_cases_z </w:t>
      </w:r>
      <w:r>
        <w:rPr>
          <w:rStyle w:val="SpecialCharTok"/>
        </w:rPr>
        <w:t xml:space="preserve">+</w:t>
      </w:r>
      <w:r>
        <w:br/>
      </w:r>
      <w:r>
        <w:rPr>
          <w:rStyle w:val="NormalTok"/>
        </w:rPr>
        <w:t xml:space="preserve">      new_deaths_z </w:t>
      </w:r>
      <w:r>
        <w:rPr>
          <w:rStyle w:val="SpecialCharTok"/>
        </w:rPr>
        <w:t xml:space="preserve">+</w:t>
      </w:r>
      <w:r>
        <w:rPr>
          <w:rStyle w:val="NormalTok"/>
        </w:rPr>
        <w:t xml:space="preserve"> cumulative_deaths_z </w:t>
      </w:r>
      <w:r>
        <w:rPr>
          <w:rStyle w:val="SpecialCharTok"/>
        </w:rPr>
        <w:t xml:space="preserve">+</w:t>
      </w:r>
      <w:r>
        <w:br/>
      </w:r>
      <w:r>
        <w:rPr>
          <w:rStyle w:val="NormalTok"/>
        </w:rPr>
        <w:t xml:space="preserve">      v2x_rule </w:t>
      </w:r>
      <w:r>
        <w:rPr>
          <w:rStyle w:val="SpecialCharTok"/>
        </w:rPr>
        <w:t xml:space="preserve">+</w:t>
      </w:r>
      <w:r>
        <w:rPr>
          <w:rStyle w:val="NormalTok"/>
        </w:rPr>
        <w:t xml:space="preserve"> year_week_num),</w:t>
      </w:r>
      <w:r>
        <w:br/>
      </w:r>
      <w:r>
        <w:rPr>
          <w:rStyle w:val="NormalTok"/>
        </w:rPr>
        <w:t xml:space="preserve">  </w:t>
      </w:r>
      <w:r>
        <w:rPr>
          <w:rStyle w:val="AttributeTok"/>
        </w:rPr>
        <w:t xml:space="preserve">family =</w:t>
      </w:r>
      <w:r>
        <w:rPr>
          <w:rStyle w:val="NormalTok"/>
        </w:rPr>
        <w:t xml:space="preserve"> </w:t>
      </w:r>
      <w:r>
        <w:rPr>
          <w:rStyle w:val="FunctionTok"/>
        </w:rPr>
        <w:t xml:space="preserve">cumulative</w:t>
      </w:r>
      <w:r>
        <w:rPr>
          <w:rStyle w:val="NormalTok"/>
        </w:rPr>
        <w:t xml:space="preserve">(),</w:t>
      </w:r>
      <w:r>
        <w:br/>
      </w:r>
      <w:r>
        <w:rPr>
          <w:rStyle w:val="NormalTok"/>
        </w:rPr>
        <w:t xml:space="preserve">  </w:t>
      </w:r>
      <w:r>
        <w:rPr>
          <w:rStyle w:val="AttributeTok"/>
        </w:rPr>
        <w:t xml:space="preserve">prior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Intercept),</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b)),</w:t>
      </w:r>
      <w:r>
        <w:br/>
      </w:r>
      <w:r>
        <w:rPr>
          <w:rStyle w:val="NormalTok"/>
        </w:rPr>
        <w:t xml:space="preserve">  ...</w:t>
      </w:r>
      <w:r>
        <w:br/>
      </w:r>
      <w:r>
        <w:rPr>
          <w:rStyle w:val="NormalTok"/>
        </w:rPr>
        <w:t xml:space="preserve">)</w:t>
      </w:r>
    </w:p>
    <w:bookmarkEnd w:id="34"/>
    <w:bookmarkStart w:id="36" w:name="complete-results-1"/>
    <w:p>
      <w:pPr>
        <w:pStyle w:val="Heading3"/>
      </w:pPr>
      <w:r>
        <w:t xml:space="preserve">Complete results</w:t>
      </w:r>
    </w:p>
    <w:tbl>
      <w:tblPr>
        <w:tblStyle w:val="Table"/>
        <w:tblW w:type="pct" w:w="5000"/>
        <w:tblLayout w:type="fixed"/>
        <w:tblLook w:firstRow="0" w:lastRow="0" w:firstColumn="0" w:lastColumn="0" w:noHBand="0" w:noVBand="0" w:val="0000"/>
      </w:tblPr>
      <w:tblGrid>
        <w:gridCol w:w="7920"/>
      </w:tblGrid>
      <w:tr>
        <w:tc>
          <w:tcPr/>
          <w:bookmarkStart w:id="35" w:name="apptbl-results-full-restrictions"/>
          <w:p>
            <w:pPr>
              <w:jc w:val="center"/>
            </w:pPr>
            <w:pPr>
              <w:jc w:val="start"/>
              <w:spacing w:before="200"/>
              <w:pStyle w:val="ImageCaption"/>
            </w:pPr>
            <w:r>
              <w:t xml:space="preserve">Table A3: Complete results from models showing relationship between derogations and COVID-19 restrictions</w:t>
            </w:r>
          </w:p>
          <w:tbl>
            <w:tblPr>
              <w:tblStyle w:val="Table"/>
              <w:tblW w:type="pct" w:w="4913"/>
              <w:tblLayout w:type="fixed"/>
              <w:tblLook w:firstRow="1" w:lastRow="1" w:firstColumn="0" w:lastColumn="0" w:noHBand="0" w:noVBand="0" w:val="0020"/>
            </w:tblPr>
            <w:tblGrid>
              <w:gridCol w:w="3168"/>
              <w:gridCol w:w="1515"/>
              <w:gridCol w:w="1584"/>
              <w:gridCol w:w="1515"/>
            </w:tblGrid>
            <w:tr>
              <w:trPr>
                <w:tblHeader w:val="on"/>
              </w:trPr>
              <w:tc>
                <w:tcPr/>
                <w:p>
                  <w:pPr>
                    <w:pStyle w:val="Compact"/>
                  </w:pPr>
                </w:p>
              </w:tc>
              <w:tc>
                <w:tcPr/>
                <w:p>
                  <w:pPr>
                    <w:pStyle w:val="Compact"/>
                    <w:jc w:val="left"/>
                    <w:jc w:val="center"/>
                  </w:pPr>
                  <w:r>
                    <w:t xml:space="preserve">Restricted movement</w:t>
                  </w:r>
                </w:p>
              </w:tc>
              <w:tc>
                <w:tcPr/>
                <w:p>
                  <w:pPr>
                    <w:pStyle w:val="Compact"/>
                    <w:jc w:val="left"/>
                    <w:jc w:val="center"/>
                  </w:pPr>
                  <w:r>
                    <w:t xml:space="preserve">Close public transit</w:t>
                  </w:r>
                </w:p>
              </w:tc>
              <w:tc>
                <w:tcPr/>
                <w:p>
                  <w:pPr>
                    <w:pStyle w:val="Compact"/>
                    <w:jc w:val="left"/>
                    <w:jc w:val="center"/>
                  </w:pPr>
                  <w:r>
                    <w:t xml:space="preserve">Stay at home</w:t>
                  </w:r>
                </w:p>
              </w:tc>
            </w:tr>
            <w:tr>
              <w:tc>
                <w:tcPr/>
                <w:p>
                  <w:pPr>
                    <w:pStyle w:val="Compact"/>
                    <w:jc w:val="left"/>
                    <w:jc w:val="center"/>
                  </w:pPr>
                  <w:r>
                    <w:t xml:space="preserve">Derogation in effect</w:t>
                  </w:r>
                </w:p>
              </w:tc>
              <w:tc>
                <w:tcPr/>
                <w:p>
                  <w:pPr>
                    <w:pStyle w:val="Compact"/>
                    <w:jc w:val="left"/>
                    <w:jc w:val="center"/>
                  </w:pPr>
                  <w:r>
                    <w:t xml:space="preserve">1.09</w:t>
                  </w:r>
                </w:p>
              </w:tc>
              <w:tc>
                <w:tcPr/>
                <w:p>
                  <w:pPr>
                    <w:pStyle w:val="Compact"/>
                    <w:jc w:val="left"/>
                    <w:jc w:val="center"/>
                  </w:pPr>
                  <w:r>
                    <w:t xml:space="preserve">1.1</w:t>
                  </w:r>
                </w:p>
              </w:tc>
              <w:tc>
                <w:tcPr/>
                <w:p>
                  <w:pPr>
                    <w:pStyle w:val="Compact"/>
                    <w:jc w:val="left"/>
                    <w:jc w:val="center"/>
                  </w:pPr>
                  <w:r>
                    <w:t xml:space="preserve">1.9</w:t>
                  </w:r>
                </w:p>
              </w:tc>
            </w:tr>
            <w:tr>
              <w:tc>
                <w:tcPr/>
                <w:p>
                  <w:pPr>
                    <w:pStyle w:val="Compact"/>
                  </w:pPr>
                </w:p>
              </w:tc>
              <w:tc>
                <w:tcPr/>
                <w:p>
                  <w:pPr>
                    <w:pStyle w:val="Compact"/>
                    <w:jc w:val="left"/>
                    <w:jc w:val="center"/>
                  </w:pPr>
                  <w:r>
                    <w:t xml:space="preserve">[0.84, 1.30]</w:t>
                  </w:r>
                </w:p>
              </w:tc>
              <w:tc>
                <w:tcPr/>
                <w:p>
                  <w:pPr>
                    <w:pStyle w:val="Compact"/>
                    <w:jc w:val="left"/>
                    <w:jc w:val="center"/>
                  </w:pPr>
                  <w:r>
                    <w:t xml:space="preserve">[0.9, 1.3]</w:t>
                  </w:r>
                </w:p>
              </w:tc>
              <w:tc>
                <w:tcPr/>
                <w:p>
                  <w:pPr>
                    <w:pStyle w:val="Compact"/>
                    <w:jc w:val="left"/>
                    <w:jc w:val="center"/>
                  </w:pPr>
                  <w:r>
                    <w:t xml:space="preserve">[1.7, 2.1]</w:t>
                  </w:r>
                </w:p>
              </w:tc>
            </w:tr>
            <w:tr>
              <w:tc>
                <w:tcPr/>
                <w:p>
                  <w:pPr>
                    <w:pStyle w:val="Compact"/>
                    <w:jc w:val="left"/>
                    <w:jc w:val="center"/>
                  </w:pPr>
                  <w:r>
                    <w:t xml:space="preserve">Pandemic backsliding (PanBack), dichotomous</w:t>
                  </w:r>
                </w:p>
              </w:tc>
              <w:tc>
                <w:tcPr/>
                <w:p>
                  <w:pPr>
                    <w:pStyle w:val="Compact"/>
                    <w:jc w:val="left"/>
                    <w:jc w:val="center"/>
                  </w:pPr>
                  <w:r>
                    <w:t xml:space="preserve">0.61</w:t>
                  </w:r>
                </w:p>
              </w:tc>
              <w:tc>
                <w:tcPr/>
                <w:p>
                  <w:pPr>
                    <w:pStyle w:val="Compact"/>
                    <w:jc w:val="left"/>
                    <w:jc w:val="center"/>
                  </w:pPr>
                  <w:r>
                    <w:t xml:space="preserve">0.75</w:t>
                  </w:r>
                </w:p>
              </w:tc>
              <w:tc>
                <w:tcPr/>
                <w:p>
                  <w:pPr>
                    <w:pStyle w:val="Compact"/>
                    <w:jc w:val="left"/>
                    <w:jc w:val="center"/>
                  </w:pPr>
                  <w:r>
                    <w:t xml:space="preserve">1.11</w:t>
                  </w:r>
                </w:p>
              </w:tc>
            </w:tr>
            <w:tr>
              <w:tc>
                <w:tcPr/>
                <w:p>
                  <w:pPr>
                    <w:pStyle w:val="Compact"/>
                  </w:pPr>
                </w:p>
              </w:tc>
              <w:tc>
                <w:tcPr/>
                <w:p>
                  <w:pPr>
                    <w:pStyle w:val="Compact"/>
                    <w:jc w:val="left"/>
                    <w:jc w:val="center"/>
                  </w:pPr>
                  <w:r>
                    <w:t xml:space="preserve">[0.45, 0.77]</w:t>
                  </w:r>
                </w:p>
              </w:tc>
              <w:tc>
                <w:tcPr/>
                <w:p>
                  <w:pPr>
                    <w:pStyle w:val="Compact"/>
                    <w:jc w:val="left"/>
                    <w:jc w:val="center"/>
                  </w:pPr>
                  <w:r>
                    <w:t xml:space="preserve">[0.61, 0.91]</w:t>
                  </w:r>
                </w:p>
              </w:tc>
              <w:tc>
                <w:tcPr/>
                <w:p>
                  <w:pPr>
                    <w:pStyle w:val="Compact"/>
                    <w:jc w:val="left"/>
                    <w:jc w:val="center"/>
                  </w:pPr>
                  <w:r>
                    <w:t xml:space="preserve">[0.95, 1.27]</w:t>
                  </w:r>
                </w:p>
              </w:tc>
            </w:tr>
            <w:tr>
              <w:tc>
                <w:tcPr/>
                <w:p>
                  <w:pPr>
                    <w:pStyle w:val="Compact"/>
                    <w:jc w:val="left"/>
                    <w:jc w:val="center"/>
                  </w:pPr>
                  <w:r>
                    <w:t xml:space="preserve">Derogation in effect × Pandemic backsliding</w:t>
                  </w:r>
                </w:p>
              </w:tc>
              <w:tc>
                <w:tcPr/>
                <w:p>
                  <w:pPr>
                    <w:pStyle w:val="Compact"/>
                    <w:jc w:val="left"/>
                    <w:jc w:val="center"/>
                  </w:pPr>
                  <w:r>
                    <w:t xml:space="preserve">0.99</w:t>
                  </w:r>
                </w:p>
              </w:tc>
              <w:tc>
                <w:tcPr/>
                <w:p>
                  <w:pPr>
                    <w:pStyle w:val="Compact"/>
                    <w:jc w:val="left"/>
                    <w:jc w:val="center"/>
                  </w:pPr>
                  <w:r>
                    <w:t xml:space="preserve">0.11</w:t>
                  </w:r>
                </w:p>
              </w:tc>
              <w:tc>
                <w:tcPr/>
                <w:p>
                  <w:pPr>
                    <w:pStyle w:val="Compact"/>
                    <w:jc w:val="left"/>
                    <w:jc w:val="center"/>
                  </w:pPr>
                  <w:r>
                    <w:t xml:space="preserve">-0.44</w:t>
                  </w:r>
                </w:p>
              </w:tc>
            </w:tr>
            <w:tr>
              <w:tc>
                <w:tcPr/>
                <w:p>
                  <w:pPr>
                    <w:pStyle w:val="Compact"/>
                  </w:pPr>
                </w:p>
              </w:tc>
              <w:tc>
                <w:tcPr/>
                <w:p>
                  <w:pPr>
                    <w:pStyle w:val="Compact"/>
                    <w:jc w:val="left"/>
                    <w:jc w:val="center"/>
                  </w:pPr>
                  <w:r>
                    <w:t xml:space="preserve">[-0.12, 2.28]</w:t>
                  </w:r>
                </w:p>
              </w:tc>
              <w:tc>
                <w:tcPr/>
                <w:p>
                  <w:pPr>
                    <w:pStyle w:val="Compact"/>
                    <w:jc w:val="left"/>
                    <w:jc w:val="center"/>
                  </w:pPr>
                  <w:r>
                    <w:t xml:space="preserve">[-0.44, 0.75]</w:t>
                  </w:r>
                </w:p>
              </w:tc>
              <w:tc>
                <w:tcPr/>
                <w:p>
                  <w:pPr>
                    <w:pStyle w:val="Compact"/>
                    <w:jc w:val="left"/>
                    <w:jc w:val="center"/>
                  </w:pPr>
                  <w:r>
                    <w:t xml:space="preserve">[-1.02, 0.16]</w:t>
                  </w:r>
                </w:p>
              </w:tc>
            </w:tr>
            <w:tr>
              <w:tc>
                <w:tcPr/>
                <w:p>
                  <w:pPr>
                    <w:pStyle w:val="Compact"/>
                    <w:jc w:val="left"/>
                    <w:jc w:val="center"/>
                  </w:pPr>
                  <w:r>
                    <w:t xml:space="preserve">New cases (standardized)</w:t>
                  </w:r>
                </w:p>
              </w:tc>
              <w:tc>
                <w:tcPr/>
                <w:p>
                  <w:pPr>
                    <w:pStyle w:val="Compact"/>
                    <w:jc w:val="left"/>
                    <w:jc w:val="center"/>
                  </w:pPr>
                  <w:r>
                    <w:t xml:space="preserve">0.59</w:t>
                  </w:r>
                </w:p>
              </w:tc>
              <w:tc>
                <w:tcPr/>
                <w:p>
                  <w:pPr>
                    <w:pStyle w:val="Compact"/>
                    <w:jc w:val="left"/>
                    <w:jc w:val="center"/>
                  </w:pPr>
                  <w:r>
                    <w:t xml:space="preserve">-0.092</w:t>
                  </w:r>
                </w:p>
              </w:tc>
              <w:tc>
                <w:tcPr/>
                <w:p>
                  <w:pPr>
                    <w:pStyle w:val="Compact"/>
                    <w:jc w:val="left"/>
                    <w:jc w:val="center"/>
                  </w:pPr>
                  <w:r>
                    <w:t xml:space="preserve">0.016</w:t>
                  </w:r>
                </w:p>
              </w:tc>
            </w:tr>
            <w:tr>
              <w:tc>
                <w:tcPr/>
                <w:p>
                  <w:pPr>
                    <w:pStyle w:val="Compact"/>
                  </w:pPr>
                </w:p>
              </w:tc>
              <w:tc>
                <w:tcPr/>
                <w:p>
                  <w:pPr>
                    <w:pStyle w:val="Compact"/>
                    <w:jc w:val="left"/>
                    <w:jc w:val="center"/>
                  </w:pPr>
                  <w:r>
                    <w:t xml:space="preserve">[0.34, 0.83]</w:t>
                  </w:r>
                </w:p>
              </w:tc>
              <w:tc>
                <w:tcPr/>
                <w:p>
                  <w:pPr>
                    <w:pStyle w:val="Compact"/>
                    <w:jc w:val="left"/>
                    <w:jc w:val="center"/>
                  </w:pPr>
                  <w:r>
                    <w:t xml:space="preserve">[-0.176, -0.015]</w:t>
                  </w:r>
                </w:p>
              </w:tc>
              <w:tc>
                <w:tcPr/>
                <w:p>
                  <w:pPr>
                    <w:pStyle w:val="Compact"/>
                    <w:jc w:val="left"/>
                    <w:jc w:val="center"/>
                  </w:pPr>
                  <w:r>
                    <w:t xml:space="preserve">[-0.072, 0.113]</w:t>
                  </w:r>
                </w:p>
              </w:tc>
            </w:tr>
            <w:tr>
              <w:tc>
                <w:tcPr/>
                <w:p>
                  <w:pPr>
                    <w:pStyle w:val="Compact"/>
                    <w:jc w:val="left"/>
                    <w:jc w:val="center"/>
                  </w:pPr>
                  <w:r>
                    <w:t xml:space="preserve">New deaths (standardized)</w:t>
                  </w:r>
                </w:p>
              </w:tc>
              <w:tc>
                <w:tcPr/>
                <w:p>
                  <w:pPr>
                    <w:pStyle w:val="Compact"/>
                    <w:jc w:val="left"/>
                    <w:jc w:val="center"/>
                  </w:pPr>
                  <w:r>
                    <w:t xml:space="preserve">0.42</w:t>
                  </w:r>
                </w:p>
              </w:tc>
              <w:tc>
                <w:tcPr/>
                <w:p>
                  <w:pPr>
                    <w:pStyle w:val="Compact"/>
                    <w:jc w:val="left"/>
                    <w:jc w:val="center"/>
                  </w:pPr>
                  <w:r>
                    <w:t xml:space="preserve">0.24</w:t>
                  </w:r>
                </w:p>
              </w:tc>
              <w:tc>
                <w:tcPr/>
                <w:p>
                  <w:pPr>
                    <w:pStyle w:val="Compact"/>
                    <w:jc w:val="left"/>
                    <w:jc w:val="center"/>
                  </w:pPr>
                  <w:r>
                    <w:t xml:space="preserve">0.33</w:t>
                  </w:r>
                </w:p>
              </w:tc>
            </w:tr>
            <w:tr>
              <w:tc>
                <w:tcPr/>
                <w:p>
                  <w:pPr>
                    <w:pStyle w:val="Compact"/>
                  </w:pPr>
                </w:p>
              </w:tc>
              <w:tc>
                <w:tcPr/>
                <w:p>
                  <w:pPr>
                    <w:pStyle w:val="Compact"/>
                    <w:jc w:val="left"/>
                    <w:jc w:val="center"/>
                  </w:pPr>
                  <w:r>
                    <w:t xml:space="preserve">[0.22, 0.60]</w:t>
                  </w:r>
                </w:p>
              </w:tc>
              <w:tc>
                <w:tcPr/>
                <w:p>
                  <w:pPr>
                    <w:pStyle w:val="Compact"/>
                    <w:jc w:val="left"/>
                    <w:jc w:val="center"/>
                  </w:pPr>
                  <w:r>
                    <w:t xml:space="preserve">[0.16, 0.32]</w:t>
                  </w:r>
                </w:p>
              </w:tc>
              <w:tc>
                <w:tcPr/>
                <w:p>
                  <w:pPr>
                    <w:pStyle w:val="Compact"/>
                    <w:jc w:val="left"/>
                    <w:jc w:val="center"/>
                  </w:pPr>
                  <w:r>
                    <w:t xml:space="preserve">[0.25, 0.42]</w:t>
                  </w:r>
                </w:p>
              </w:tc>
            </w:tr>
            <w:tr>
              <w:tc>
                <w:tcPr/>
                <w:p>
                  <w:pPr>
                    <w:pStyle w:val="Compact"/>
                    <w:jc w:val="left"/>
                    <w:jc w:val="center"/>
                  </w:pPr>
                  <w:r>
                    <w:t xml:space="preserve">Cumulative cases (standardized)</w:t>
                  </w:r>
                </w:p>
              </w:tc>
              <w:tc>
                <w:tcPr/>
                <w:p>
                  <w:pPr>
                    <w:pStyle w:val="Compact"/>
                    <w:jc w:val="left"/>
                    <w:jc w:val="center"/>
                  </w:pPr>
                  <w:r>
                    <w:t xml:space="preserve">-0.70</w:t>
                  </w:r>
                </w:p>
              </w:tc>
              <w:tc>
                <w:tcPr/>
                <w:p>
                  <w:pPr>
                    <w:pStyle w:val="Compact"/>
                    <w:jc w:val="left"/>
                    <w:jc w:val="center"/>
                  </w:pPr>
                  <w:r>
                    <w:t xml:space="preserve">-0.038</w:t>
                  </w:r>
                </w:p>
              </w:tc>
              <w:tc>
                <w:tcPr/>
                <w:p>
                  <w:pPr>
                    <w:pStyle w:val="Compact"/>
                    <w:jc w:val="left"/>
                    <w:jc w:val="center"/>
                  </w:pPr>
                  <w:r>
                    <w:t xml:space="preserve">-0.065</w:t>
                  </w:r>
                </w:p>
              </w:tc>
            </w:tr>
            <w:tr>
              <w:tc>
                <w:tcPr/>
                <w:p>
                  <w:pPr>
                    <w:pStyle w:val="Compact"/>
                  </w:pPr>
                </w:p>
              </w:tc>
              <w:tc>
                <w:tcPr/>
                <w:p>
                  <w:pPr>
                    <w:pStyle w:val="Compact"/>
                    <w:jc w:val="left"/>
                    <w:jc w:val="center"/>
                  </w:pPr>
                  <w:r>
                    <w:t xml:space="preserve">[-0.90, -0.49]</w:t>
                  </w:r>
                </w:p>
              </w:tc>
              <w:tc>
                <w:tcPr/>
                <w:p>
                  <w:pPr>
                    <w:pStyle w:val="Compact"/>
                    <w:jc w:val="left"/>
                    <w:jc w:val="center"/>
                  </w:pPr>
                  <w:r>
                    <w:t xml:space="preserve">[-0.142, 0.062]</w:t>
                  </w:r>
                </w:p>
              </w:tc>
              <w:tc>
                <w:tcPr/>
                <w:p>
                  <w:pPr>
                    <w:pStyle w:val="Compact"/>
                    <w:jc w:val="left"/>
                    <w:jc w:val="center"/>
                  </w:pPr>
                  <w:r>
                    <w:t xml:space="preserve">[-0.174, 0.054]</w:t>
                  </w:r>
                </w:p>
              </w:tc>
            </w:tr>
            <w:tr>
              <w:tc>
                <w:tcPr/>
                <w:p>
                  <w:pPr>
                    <w:pStyle w:val="Compact"/>
                    <w:jc w:val="left"/>
                    <w:jc w:val="center"/>
                  </w:pPr>
                  <w:r>
                    <w:t xml:space="preserve">Cumulative deaths (standardized)</w:t>
                  </w:r>
                </w:p>
              </w:tc>
              <w:tc>
                <w:tcPr/>
                <w:p>
                  <w:pPr>
                    <w:pStyle w:val="Compact"/>
                    <w:jc w:val="left"/>
                    <w:jc w:val="center"/>
                  </w:pPr>
                  <w:r>
                    <w:t xml:space="preserve">0.81</w:t>
                  </w:r>
                </w:p>
              </w:tc>
              <w:tc>
                <w:tcPr/>
                <w:p>
                  <w:pPr>
                    <w:pStyle w:val="Compact"/>
                    <w:jc w:val="left"/>
                    <w:jc w:val="center"/>
                  </w:pPr>
                  <w:r>
                    <w:t xml:space="preserve">0.146</w:t>
                  </w:r>
                </w:p>
              </w:tc>
              <w:tc>
                <w:tcPr/>
                <w:p>
                  <w:pPr>
                    <w:pStyle w:val="Compact"/>
                    <w:jc w:val="left"/>
                    <w:jc w:val="center"/>
                  </w:pPr>
                  <w:r>
                    <w:t xml:space="preserve">0.072</w:t>
                  </w:r>
                </w:p>
              </w:tc>
            </w:tr>
            <w:tr>
              <w:tc>
                <w:tcPr/>
                <w:p>
                  <w:pPr>
                    <w:pStyle w:val="Compact"/>
                  </w:pPr>
                </w:p>
              </w:tc>
              <w:tc>
                <w:tcPr/>
                <w:p>
                  <w:pPr>
                    <w:pStyle w:val="Compact"/>
                    <w:jc w:val="left"/>
                    <w:jc w:val="center"/>
                  </w:pPr>
                  <w:r>
                    <w:t xml:space="preserve">[0.59, 1.04]</w:t>
                  </w:r>
                </w:p>
              </w:tc>
              <w:tc>
                <w:tcPr/>
                <w:p>
                  <w:pPr>
                    <w:pStyle w:val="Compact"/>
                    <w:jc w:val="left"/>
                    <w:jc w:val="center"/>
                  </w:pPr>
                  <w:r>
                    <w:t xml:space="preserve">[0.045, 0.255]</w:t>
                  </w:r>
                </w:p>
              </w:tc>
              <w:tc>
                <w:tcPr/>
                <w:p>
                  <w:pPr>
                    <w:pStyle w:val="Compact"/>
                    <w:jc w:val="left"/>
                    <w:jc w:val="center"/>
                  </w:pPr>
                  <w:r>
                    <w:t xml:space="preserve">[-0.044, 0.186]</w:t>
                  </w:r>
                </w:p>
              </w:tc>
            </w:tr>
            <w:tr>
              <w:tc>
                <w:tcPr/>
                <w:p>
                  <w:pPr>
                    <w:pStyle w:val="Compact"/>
                    <w:jc w:val="left"/>
                    <w:jc w:val="center"/>
                  </w:pPr>
                  <w:r>
                    <w:t xml:space="preserve">Rule of law index</w:t>
                  </w:r>
                </w:p>
              </w:tc>
              <w:tc>
                <w:tcPr/>
                <w:p>
                  <w:pPr>
                    <w:pStyle w:val="Compact"/>
                    <w:jc w:val="left"/>
                    <w:jc w:val="center"/>
                  </w:pPr>
                  <w:r>
                    <w:t xml:space="preserve">-0.55</w:t>
                  </w:r>
                </w:p>
              </w:tc>
              <w:tc>
                <w:tcPr/>
                <w:p>
                  <w:pPr>
                    <w:pStyle w:val="Compact"/>
                    <w:jc w:val="left"/>
                    <w:jc w:val="center"/>
                  </w:pPr>
                  <w:r>
                    <w:t xml:space="preserve">-0.81</w:t>
                  </w:r>
                </w:p>
              </w:tc>
              <w:tc>
                <w:tcPr/>
                <w:p>
                  <w:pPr>
                    <w:pStyle w:val="Compact"/>
                    <w:jc w:val="left"/>
                    <w:jc w:val="center"/>
                  </w:pPr>
                  <w:r>
                    <w:t xml:space="preserve">-0.38</w:t>
                  </w:r>
                </w:p>
              </w:tc>
            </w:tr>
            <w:tr>
              <w:tc>
                <w:tcPr/>
                <w:p>
                  <w:pPr>
                    <w:pStyle w:val="Compact"/>
                  </w:pPr>
                </w:p>
              </w:tc>
              <w:tc>
                <w:tcPr/>
                <w:p>
                  <w:pPr>
                    <w:pStyle w:val="Compact"/>
                    <w:jc w:val="left"/>
                    <w:jc w:val="center"/>
                  </w:pPr>
                  <w:r>
                    <w:t xml:space="preserve">[-0.68, -0.42]</w:t>
                  </w:r>
                </w:p>
              </w:tc>
              <w:tc>
                <w:tcPr/>
                <w:p>
                  <w:pPr>
                    <w:pStyle w:val="Compact"/>
                    <w:jc w:val="left"/>
                    <w:jc w:val="center"/>
                  </w:pPr>
                  <w:r>
                    <w:t xml:space="preserve">[-0.94, -0.68]</w:t>
                  </w:r>
                </w:p>
              </w:tc>
              <w:tc>
                <w:tcPr/>
                <w:p>
                  <w:pPr>
                    <w:pStyle w:val="Compact"/>
                    <w:jc w:val="left"/>
                    <w:jc w:val="center"/>
                  </w:pPr>
                  <w:r>
                    <w:t xml:space="preserve">[-0.50, -0.26]</w:t>
                  </w:r>
                </w:p>
              </w:tc>
            </w:tr>
            <w:tr>
              <w:tc>
                <w:tcPr/>
                <w:p>
                  <w:pPr>
                    <w:pStyle w:val="Compact"/>
                    <w:jc w:val="left"/>
                    <w:jc w:val="center"/>
                  </w:pPr>
                  <w:r>
                    <w:t xml:space="preserve">Year-week number</w:t>
                  </w:r>
                </w:p>
              </w:tc>
              <w:tc>
                <w:tcPr/>
                <w:p>
                  <w:pPr>
                    <w:pStyle w:val="Compact"/>
                    <w:jc w:val="left"/>
                    <w:jc w:val="center"/>
                  </w:pPr>
                  <w:r>
                    <w:t xml:space="preserve">-0.021</w:t>
                  </w:r>
                </w:p>
              </w:tc>
              <w:tc>
                <w:tcPr/>
                <w:p>
                  <w:pPr>
                    <w:pStyle w:val="Compact"/>
                    <w:jc w:val="left"/>
                    <w:jc w:val="center"/>
                  </w:pPr>
                  <w:r>
                    <w:t xml:space="preserve">-0.0113</w:t>
                  </w:r>
                </w:p>
              </w:tc>
              <w:tc>
                <w:tcPr/>
                <w:p>
                  <w:pPr>
                    <w:pStyle w:val="Compact"/>
                    <w:jc w:val="left"/>
                    <w:jc w:val="center"/>
                  </w:pPr>
                  <w:r>
                    <w:t xml:space="preserve">-0.00061</w:t>
                  </w:r>
                </w:p>
              </w:tc>
            </w:tr>
            <w:tr>
              <w:tc>
                <w:tcPr/>
                <w:p>
                  <w:pPr>
                    <w:pStyle w:val="Compact"/>
                  </w:pPr>
                </w:p>
              </w:tc>
              <w:tc>
                <w:tcPr/>
                <w:p>
                  <w:pPr>
                    <w:pStyle w:val="Compact"/>
                    <w:jc w:val="left"/>
                    <w:jc w:val="center"/>
                  </w:pPr>
                  <w:r>
                    <w:t xml:space="preserve">[-0.023, -0.019]</w:t>
                  </w:r>
                </w:p>
              </w:tc>
              <w:tc>
                <w:tcPr/>
                <w:p>
                  <w:pPr>
                    <w:pStyle w:val="Compact"/>
                    <w:jc w:val="left"/>
                    <w:jc w:val="center"/>
                  </w:pPr>
                  <w:r>
                    <w:t xml:space="preserve">[-0.0133, -0.0093]</w:t>
                  </w:r>
                </w:p>
              </w:tc>
              <w:tc>
                <w:tcPr/>
                <w:p>
                  <w:pPr>
                    <w:pStyle w:val="Compact"/>
                    <w:jc w:val="left"/>
                    <w:jc w:val="center"/>
                  </w:pPr>
                  <w:r>
                    <w:t xml:space="preserve">[-0.00247, 0.00137]</w:t>
                  </w:r>
                </w:p>
              </w:tc>
            </w:tr>
            <w:tr>
              <w:tc>
                <w:tcPr/>
                <w:p>
                  <w:pPr>
                    <w:pStyle w:val="Compact"/>
                    <w:jc w:val="left"/>
                    <w:jc w:val="center"/>
                  </w:pPr>
                  <w:r>
                    <w:t xml:space="preserve">Cut 1</w:t>
                  </w:r>
                </w:p>
              </w:tc>
              <w:tc>
                <w:tcPr/>
                <w:p>
                  <w:pPr>
                    <w:pStyle w:val="Compact"/>
                    <w:jc w:val="left"/>
                    <w:jc w:val="center"/>
                  </w:pPr>
                  <w:r>
                    <w:t xml:space="preserve">-1.6</w:t>
                  </w:r>
                </w:p>
              </w:tc>
              <w:tc>
                <w:tcPr/>
                <w:p>
                  <w:pPr>
                    <w:pStyle w:val="Compact"/>
                    <w:jc w:val="left"/>
                    <w:jc w:val="center"/>
                  </w:pPr>
                  <w:r>
                    <w:t xml:space="preserve">-0.94</w:t>
                  </w:r>
                </w:p>
              </w:tc>
              <w:tc>
                <w:tcPr/>
                <w:p>
                  <w:pPr>
                    <w:pStyle w:val="Compact"/>
                    <w:jc w:val="left"/>
                    <w:jc w:val="center"/>
                  </w:pPr>
                  <w:r>
                    <w:t xml:space="preserve">-1.2</w:t>
                  </w:r>
                </w:p>
              </w:tc>
            </w:tr>
            <w:tr>
              <w:tc>
                <w:tcPr/>
                <w:p>
                  <w:pPr>
                    <w:pStyle w:val="Compact"/>
                  </w:pPr>
                </w:p>
              </w:tc>
              <w:tc>
                <w:tcPr/>
                <w:p>
                  <w:pPr>
                    <w:pStyle w:val="Compact"/>
                    <w:jc w:val="left"/>
                    <w:jc w:val="center"/>
                  </w:pPr>
                  <w:r>
                    <w:t xml:space="preserve">[-1.8, -1.5]</w:t>
                  </w:r>
                </w:p>
              </w:tc>
              <w:tc>
                <w:tcPr/>
                <w:p>
                  <w:pPr>
                    <w:pStyle w:val="Compact"/>
                    <w:jc w:val="left"/>
                    <w:jc w:val="center"/>
                  </w:pPr>
                  <w:r>
                    <w:t xml:space="preserve">[-1.06, -0.83]</w:t>
                  </w:r>
                </w:p>
              </w:tc>
              <w:tc>
                <w:tcPr/>
                <w:p>
                  <w:pPr>
                    <w:pStyle w:val="Compact"/>
                    <w:jc w:val="left"/>
                    <w:jc w:val="center"/>
                  </w:pPr>
                  <w:r>
                    <w:t xml:space="preserve">[-1.3, -1.1]</w:t>
                  </w:r>
                </w:p>
              </w:tc>
            </w:tr>
            <w:tr>
              <w:tc>
                <w:tcPr/>
                <w:p>
                  <w:pPr>
                    <w:pStyle w:val="Compact"/>
                    <w:jc w:val="left"/>
                    <w:jc w:val="center"/>
                  </w:pPr>
                  <w:r>
                    <w:t xml:space="preserve">Cut 2</w:t>
                  </w:r>
                </w:p>
              </w:tc>
              <w:tc>
                <w:tcPr/>
                <w:p>
                  <w:pPr>
                    <w:pStyle w:val="Compact"/>
                    <w:jc w:val="left"/>
                    <w:jc w:val="center"/>
                  </w:pPr>
                  <w:r>
                    <w:t xml:space="preserve">-0.84</w:t>
                  </w:r>
                </w:p>
              </w:tc>
              <w:tc>
                <w:tcPr/>
                <w:p>
                  <w:pPr>
                    <w:pStyle w:val="Compact"/>
                    <w:jc w:val="left"/>
                    <w:jc w:val="center"/>
                  </w:pPr>
                  <w:r>
                    <w:t xml:space="preserve">0.89</w:t>
                  </w:r>
                </w:p>
              </w:tc>
              <w:tc>
                <w:tcPr/>
                <w:p>
                  <w:pPr>
                    <w:pStyle w:val="Compact"/>
                    <w:jc w:val="left"/>
                    <w:jc w:val="center"/>
                  </w:pPr>
                  <w:r>
                    <w:t xml:space="preserve">0.038</w:t>
                  </w:r>
                </w:p>
              </w:tc>
            </w:tr>
            <w:tr>
              <w:tc>
                <w:tcPr/>
                <w:p>
                  <w:pPr>
                    <w:pStyle w:val="Compact"/>
                  </w:pPr>
                </w:p>
              </w:tc>
              <w:tc>
                <w:tcPr/>
                <w:p>
                  <w:pPr>
                    <w:pStyle w:val="Compact"/>
                    <w:jc w:val="left"/>
                    <w:jc w:val="center"/>
                  </w:pPr>
                  <w:r>
                    <w:t xml:space="preserve">[-0.96, -0.72]</w:t>
                  </w:r>
                </w:p>
              </w:tc>
              <w:tc>
                <w:tcPr/>
                <w:p>
                  <w:pPr>
                    <w:pStyle w:val="Compact"/>
                    <w:jc w:val="left"/>
                    <w:jc w:val="center"/>
                  </w:pPr>
                  <w:r>
                    <w:t xml:space="preserve">[0.78, 1.01]</w:t>
                  </w:r>
                </w:p>
              </w:tc>
              <w:tc>
                <w:tcPr/>
                <w:p>
                  <w:pPr>
                    <w:pStyle w:val="Compact"/>
                    <w:jc w:val="left"/>
                    <w:jc w:val="center"/>
                  </w:pPr>
                  <w:r>
                    <w:t xml:space="preserve">[-0.068, 0.144]</w:t>
                  </w:r>
                </w:p>
              </w:tc>
            </w:tr>
            <w:tr>
              <w:tc>
                <w:tcPr/>
                <w:p>
                  <w:pPr>
                    <w:pStyle w:val="Compact"/>
                    <w:jc w:val="left"/>
                    <w:jc w:val="center"/>
                  </w:pPr>
                  <w:r>
                    <w:t xml:space="preserve">Cut 3</w:t>
                  </w:r>
                </w:p>
              </w:tc>
              <w:tc>
                <w:tcPr/>
                <w:p>
                  <w:pPr>
                    <w:pStyle w:val="Compact"/>
                  </w:pPr>
                </w:p>
              </w:tc>
              <w:tc>
                <w:tcPr/>
                <w:p>
                  <w:pPr>
                    <w:pStyle w:val="Compact"/>
                  </w:pPr>
                </w:p>
              </w:tc>
              <w:tc>
                <w:tcPr/>
                <w:p>
                  <w:pPr>
                    <w:pStyle w:val="Compact"/>
                    <w:jc w:val="left"/>
                    <w:jc w:val="center"/>
                  </w:pPr>
                  <w:r>
                    <w:t xml:space="preserve">2.8</w:t>
                  </w:r>
                </w:p>
              </w:tc>
            </w:tr>
            <w:tr>
              <w:tc>
                <w:tcPr/>
                <w:p>
                  <w:pPr>
                    <w:pStyle w:val="Compact"/>
                  </w:pPr>
                </w:p>
              </w:tc>
              <w:tc>
                <w:tcPr/>
                <w:p>
                  <w:pPr>
                    <w:pStyle w:val="Compact"/>
                  </w:pPr>
                </w:p>
              </w:tc>
              <w:tc>
                <w:tcPr/>
                <w:p>
                  <w:pPr>
                    <w:pStyle w:val="Compact"/>
                  </w:pPr>
                </w:p>
              </w:tc>
              <w:tc>
                <w:tcPr/>
                <w:p>
                  <w:pPr>
                    <w:pStyle w:val="Compact"/>
                    <w:jc w:val="left"/>
                    <w:jc w:val="center"/>
                  </w:pPr>
                  <w:r>
                    <w:t xml:space="preserve">[2.7, 3.0]</w:t>
                  </w:r>
                </w:p>
              </w:tc>
            </w:tr>
            <w:tr>
              <w:tc>
                <w:tcPr/>
                <w:p>
                  <w:pPr>
                    <w:pStyle w:val="Compact"/>
                    <w:jc w:val="left"/>
                    <w:jc w:val="center"/>
                  </w:pPr>
                  <w:r>
                    <w:t xml:space="preserve">N</w:t>
                  </w:r>
                </w:p>
              </w:tc>
              <w:tc>
                <w:tcPr/>
                <w:p>
                  <w:pPr>
                    <w:pStyle w:val="Compact"/>
                    <w:jc w:val="left"/>
                    <w:jc w:val="center"/>
                  </w:pPr>
                  <w:r>
                    <w:t xml:space="preserve">9591</w:t>
                  </w:r>
                </w:p>
              </w:tc>
              <w:tc>
                <w:tcPr/>
                <w:p>
                  <w:pPr>
                    <w:pStyle w:val="Compact"/>
                    <w:jc w:val="left"/>
                    <w:jc w:val="center"/>
                  </w:pPr>
                  <w:r>
                    <w:t xml:space="preserve">9591</w:t>
                  </w:r>
                </w:p>
              </w:tc>
              <w:tc>
                <w:tcPr/>
                <w:p>
                  <w:pPr>
                    <w:pStyle w:val="Compact"/>
                    <w:jc w:val="left"/>
                    <w:jc w:val="center"/>
                  </w:pPr>
                  <w:r>
                    <w:t xml:space="preserve">9591</w:t>
                  </w:r>
                </w:p>
              </w:tc>
            </w:tr>
            <w:tr>
              <w:tc>
                <w:tcPr/>
                <w:p>
                  <w:pPr>
                    <w:pStyle w:val="Compact"/>
                    <w:jc w:val="left"/>
                    <w:jc w:val="center"/>
                  </w:pPr>
                  <w:r>
                    <w:t xml:space="preserve">(R^2)</w:t>
                  </w:r>
                </w:p>
              </w:tc>
              <w:tc>
                <w:tcPr/>
                <w:p>
                  <w:pPr>
                    <w:pStyle w:val="Compact"/>
                    <w:jc w:val="left"/>
                    <w:jc w:val="center"/>
                  </w:pPr>
                  <w:r>
                    <w:t xml:space="preserve">0.11</w:t>
                  </w:r>
                </w:p>
              </w:tc>
              <w:tc>
                <w:tcPr/>
                <w:p>
                  <w:pPr>
                    <w:pStyle w:val="Compact"/>
                    <w:jc w:val="left"/>
                    <w:jc w:val="center"/>
                  </w:pPr>
                  <w:r>
                    <w:t xml:space="preserve">0.07</w:t>
                  </w:r>
                </w:p>
              </w:tc>
              <w:tc>
                <w:tcPr/>
                <w:p>
                  <w:pPr>
                    <w:pStyle w:val="Compact"/>
                    <w:jc w:val="left"/>
                    <w:jc w:val="center"/>
                  </w:pPr>
                  <w:r>
                    <w:t xml:space="preserve">0.09</w:t>
                  </w:r>
                </w:p>
              </w:tc>
            </w:tr>
            <w:tr>
              <w:tc>
                <w:tcPr>
                  <w:gridSpan w:val="4"/>
                </w:tcPr>
                <w:p>
                  <w:pPr>
                    <w:pStyle w:val="Compact"/>
                    <w:jc w:val="left"/>
                    <w:jc w:val="center"/>
                  </w:pPr>
                  <w:r>
                    <w:t xml:space="preserve">Note: Estimates are median posterior log odds from ordered logistic regression models; 95% credible intervals</w:t>
                  </w:r>
                  <w:r>
                    <w:t xml:space="preserve"> </w:t>
                  </w:r>
                  <w:r>
                    <w:t xml:space="preserve">(highest density posterior interval, or HDPI) in brackets.</w:t>
                  </w:r>
                </w:p>
              </w:tc>
            </w:tr>
          </w:tbl>
          <w:bookmarkEnd w:id="35"/>
          <w:p/>
        </w:tc>
      </w:tr>
    </w:tbl>
    <w:bookmarkEnd w:id="36"/>
    <w:bookmarkEnd w:id="37"/>
    <w:bookmarkStart w:id="42" w:name="X374214dcc6259fc69e8e54f723117a24144e8c4"/>
    <w:p>
      <w:pPr>
        <w:pStyle w:val="Heading2"/>
      </w:pPr>
      <w:r>
        <w:t xml:space="preserve">Explaining COVID-19 human rights violations</w:t>
      </w:r>
    </w:p>
    <w:bookmarkStart w:id="38" w:name="formal-model-specification-2"/>
    <w:p>
      <w:pPr>
        <w:pStyle w:val="Heading3"/>
      </w:pPr>
      <w:r>
        <w:t xml:space="preserve">Formal model specification</w:t>
      </w:r>
    </w:p>
    <w:p>
      <w:pPr>
        <w:pStyle w:val="FirstParagraph"/>
      </w:pPr>
      <w:r>
        <w:t xml:space="preserve">$$
\begin{aligned}
&amp;\ \mathrlap{\textbf{Model of outcome level $i$ across week $t$}} \\
\text{Outcome}_{it_j} \sim&amp;\ \operatorname{Ordered\ logit}(\phi_{it_j}, \alpha_k) \\[0.75em]
&amp;\ \textbf{Distribution parameters} \\
\phi_{it} =&amp;\ \beta_0 + \beta_1\ \text{PanBack (binary)}_{it} + \beta_2\ \text{Derogation in effect}_{it} + \\
&amp;\ \beta_3\ [\text{PanBack (binary)}_{it} \times \text{Derogation in effect}_{it}] + \\
&amp;\ \beta_4\ \text{New cases}_{it}\ + \beta_5\ \text{Cumulative cases}_{it}\ + \\
&amp;\ \beta_6\ \text{New deaths}_{it}\ + \beta_7\ \text{Cumulative deaths}_{it}\ + \\
&amp;\ \beta_8\ \text{Rule of law index}_{it}\ + \beta_9\ \text{Week number}_{it} \\[0.75em]
&amp;\ \textbf{Priors} \\
\beta_{0 \dots 9} \sim&amp;\ \operatorname{Student\ t}(\nu = 1, \mu = 0, \sigma = 3) \\
\alpha_k \sim&amp;\ \mathcal{N}(0, 1)
\end{aligned}
$$</w:t>
      </w:r>
    </w:p>
    <w:bookmarkEnd w:id="38"/>
    <w:bookmarkStart w:id="39" w:name="simplified-r-code-2"/>
    <w:p>
      <w:pPr>
        <w:pStyle w:val="Heading3"/>
      </w:pPr>
      <w:r>
        <w:t xml:space="preserve">Simplified R code</w:t>
      </w:r>
    </w:p>
    <w:p>
      <w:pPr>
        <w:pStyle w:val="SourceCode"/>
      </w:pPr>
      <w:r>
        <w:rPr>
          <w:rStyle w:val="FunctionTok"/>
        </w:rPr>
        <w:t xml:space="preserve">brm</w:t>
      </w:r>
      <w:r>
        <w:rPr>
          <w:rStyle w:val="NormalTok"/>
        </w:rPr>
        <w:t xml:space="preserve">(</w:t>
      </w:r>
      <w:r>
        <w:br/>
      </w:r>
      <w:r>
        <w:rPr>
          <w:rStyle w:val="NormalTok"/>
        </w:rPr>
        <w:t xml:space="preserve">  </w:t>
      </w:r>
      <w:r>
        <w:rPr>
          <w:rStyle w:val="FunctionTok"/>
        </w:rPr>
        <w:t xml:space="preserve">bf</w:t>
      </w:r>
      <w:r>
        <w:rPr>
          <w:rStyle w:val="NormalTok"/>
        </w:rPr>
        <w:t xml:space="preserve">(outcome </w:t>
      </w:r>
      <w:r>
        <w:rPr>
          <w:rStyle w:val="SpecialCharTok"/>
        </w:rPr>
        <w:t xml:space="preserve">~</w:t>
      </w:r>
      <w:r>
        <w:rPr>
          <w:rStyle w:val="NormalTok"/>
        </w:rPr>
        <w:t xml:space="preserve"> derogation_ineffect</w:t>
      </w:r>
      <w:r>
        <w:rPr>
          <w:rStyle w:val="SpecialCharTok"/>
        </w:rPr>
        <w:t xml:space="preserve">*</w:t>
      </w:r>
      <w:r>
        <w:rPr>
          <w:rStyle w:val="NormalTok"/>
        </w:rPr>
        <w:t xml:space="preserve">panbackdichot </w:t>
      </w:r>
      <w:r>
        <w:rPr>
          <w:rStyle w:val="SpecialCharTok"/>
        </w:rPr>
        <w:t xml:space="preserve">+</w:t>
      </w:r>
      <w:r>
        <w:br/>
      </w:r>
      <w:r>
        <w:rPr>
          <w:rStyle w:val="NormalTok"/>
        </w:rPr>
        <w:t xml:space="preserve">      new_cases_z </w:t>
      </w:r>
      <w:r>
        <w:rPr>
          <w:rStyle w:val="SpecialCharTok"/>
        </w:rPr>
        <w:t xml:space="preserve">+</w:t>
      </w:r>
      <w:r>
        <w:rPr>
          <w:rStyle w:val="NormalTok"/>
        </w:rPr>
        <w:t xml:space="preserve"> cumulative_cases_z </w:t>
      </w:r>
      <w:r>
        <w:rPr>
          <w:rStyle w:val="SpecialCharTok"/>
        </w:rPr>
        <w:t xml:space="preserve">+</w:t>
      </w:r>
      <w:r>
        <w:br/>
      </w:r>
      <w:r>
        <w:rPr>
          <w:rStyle w:val="NormalTok"/>
        </w:rPr>
        <w:t xml:space="preserve">      new_deaths_z </w:t>
      </w:r>
      <w:r>
        <w:rPr>
          <w:rStyle w:val="SpecialCharTok"/>
        </w:rPr>
        <w:t xml:space="preserve">+</w:t>
      </w:r>
      <w:r>
        <w:rPr>
          <w:rStyle w:val="NormalTok"/>
        </w:rPr>
        <w:t xml:space="preserve"> cumulative_deaths_z </w:t>
      </w:r>
      <w:r>
        <w:rPr>
          <w:rStyle w:val="SpecialCharTok"/>
        </w:rPr>
        <w:t xml:space="preserve">+</w:t>
      </w:r>
      <w:r>
        <w:br/>
      </w:r>
      <w:r>
        <w:rPr>
          <w:rStyle w:val="NormalTok"/>
        </w:rPr>
        <w:t xml:space="preserve">      v2x_rule </w:t>
      </w:r>
      <w:r>
        <w:rPr>
          <w:rStyle w:val="SpecialCharTok"/>
        </w:rPr>
        <w:t xml:space="preserve">+</w:t>
      </w:r>
      <w:r>
        <w:rPr>
          <w:rStyle w:val="NormalTok"/>
        </w:rPr>
        <w:t xml:space="preserve"> year_week_num),</w:t>
      </w:r>
      <w:r>
        <w:br/>
      </w:r>
      <w:r>
        <w:rPr>
          <w:rStyle w:val="NormalTok"/>
        </w:rPr>
        <w:t xml:space="preserve">  </w:t>
      </w:r>
      <w:r>
        <w:rPr>
          <w:rStyle w:val="AttributeTok"/>
        </w:rPr>
        <w:t xml:space="preserve">family =</w:t>
      </w:r>
      <w:r>
        <w:rPr>
          <w:rStyle w:val="NormalTok"/>
        </w:rPr>
        <w:t xml:space="preserve"> </w:t>
      </w:r>
      <w:r>
        <w:rPr>
          <w:rStyle w:val="FunctionTok"/>
        </w:rPr>
        <w:t xml:space="preserve">cumulative</w:t>
      </w:r>
      <w:r>
        <w:rPr>
          <w:rStyle w:val="NormalTok"/>
        </w:rPr>
        <w:t xml:space="preserve">(),</w:t>
      </w:r>
      <w:r>
        <w:br/>
      </w:r>
      <w:r>
        <w:rPr>
          <w:rStyle w:val="NormalTok"/>
        </w:rPr>
        <w:t xml:space="preserve">  </w:t>
      </w:r>
      <w:r>
        <w:rPr>
          <w:rStyle w:val="AttributeTok"/>
        </w:rPr>
        <w:t xml:space="preserve">prior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Intercept),</w:t>
      </w:r>
      <w:r>
        <w:br/>
      </w:r>
      <w:r>
        <w:rPr>
          <w:rStyle w:val="NormalTok"/>
        </w:rPr>
        <w:t xml:space="preserve">    </w:t>
      </w:r>
      <w:r>
        <w:rPr>
          <w:rStyle w:val="FunctionTok"/>
        </w:rPr>
        <w:t xml:space="preserve">prior</w:t>
      </w:r>
      <w:r>
        <w:rPr>
          <w:rStyle w:val="NormalTok"/>
        </w:rPr>
        <w:t xml:space="preserve">(</w:t>
      </w:r>
      <w:r>
        <w:rPr>
          <w:rStyle w:val="FunctionTok"/>
        </w:rPr>
        <w:t xml:space="preserve">student_t</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AttributeTok"/>
        </w:rPr>
        <w:t xml:space="preserve">class =</w:t>
      </w:r>
      <w:r>
        <w:rPr>
          <w:rStyle w:val="NormalTok"/>
        </w:rPr>
        <w:t xml:space="preserve"> b)),</w:t>
      </w:r>
      <w:r>
        <w:br/>
      </w:r>
      <w:r>
        <w:rPr>
          <w:rStyle w:val="NormalTok"/>
        </w:rPr>
        <w:t xml:space="preserve">  ...</w:t>
      </w:r>
      <w:r>
        <w:br/>
      </w:r>
      <w:r>
        <w:rPr>
          <w:rStyle w:val="NormalTok"/>
        </w:rPr>
        <w:t xml:space="preserve">)</w:t>
      </w:r>
    </w:p>
    <w:bookmarkEnd w:id="39"/>
    <w:bookmarkStart w:id="41" w:name="complete-results-2"/>
    <w:p>
      <w:pPr>
        <w:pStyle w:val="Heading3"/>
      </w:pPr>
      <w:r>
        <w:t xml:space="preserve">Complete results</w:t>
      </w:r>
    </w:p>
    <w:tbl>
      <w:tblPr>
        <w:tblStyle w:val="Table"/>
        <w:tblW w:type="pct" w:w="5000"/>
        <w:tblLayout w:type="fixed"/>
        <w:tblLook w:firstRow="0" w:lastRow="0" w:firstColumn="0" w:lastColumn="0" w:noHBand="0" w:noVBand="0" w:val="0000"/>
      </w:tblPr>
      <w:tblGrid>
        <w:gridCol w:w="7920"/>
      </w:tblGrid>
      <w:tr>
        <w:tc>
          <w:tcPr/>
          <w:bookmarkStart w:id="40" w:name="apptbl-results-full-hr"/>
          <w:p>
            <w:pPr>
              <w:jc w:val="center"/>
            </w:pPr>
            <w:pPr>
              <w:jc w:val="start"/>
              <w:spacing w:before="200"/>
              <w:pStyle w:val="ImageCaption"/>
            </w:pPr>
            <w:r>
              <w:t xml:space="preserve">Table A4: Complete results from models showing relationship between derogations and human rights violations (H</w:t>
            </w:r>
            <w:r>
              <w:rPr>
                <w:vertAlign w:val="subscript"/>
              </w:rPr>
              <w:t xml:space="preserve">2</w:t>
            </w:r>
            <w:r>
              <w:t xml:space="preserve"> </w:t>
            </w:r>
            <w:r>
              <w:t xml:space="preserve">and H</w:t>
            </w:r>
            <w:r>
              <w:rPr>
                <w:vertAlign w:val="subscript"/>
              </w:rPr>
              <w:t xml:space="preserve">3</w:t>
            </w:r>
            <w:r>
              <w:t xml:space="preserve">)</w:t>
            </w:r>
          </w:p>
          <w:tbl>
            <w:tblPr>
              <w:tblStyle w:val="Table"/>
              <w:tblW w:type="pct" w:w="4874"/>
              <w:tblLayout w:type="fixed"/>
              <w:tblLook w:firstRow="1" w:lastRow="1" w:firstColumn="0" w:lastColumn="0" w:noHBand="0" w:noVBand="0" w:val="0020"/>
            </w:tblPr>
            <w:tblGrid>
              <w:gridCol w:w="2291"/>
              <w:gridCol w:w="1195"/>
              <w:gridCol w:w="1145"/>
              <w:gridCol w:w="1095"/>
              <w:gridCol w:w="946"/>
              <w:gridCol w:w="1046"/>
            </w:tblGrid>
            <w:tr>
              <w:trPr>
                <w:tblHeader w:val="on"/>
              </w:trPr>
              <w:tc>
                <w:tcPr/>
                <w:p>
                  <w:pPr>
                    <w:pStyle w:val="Compact"/>
                  </w:pPr>
                </w:p>
              </w:tc>
              <w:tc>
                <w:tcPr/>
                <w:p>
                  <w:pPr>
                    <w:pStyle w:val="Compact"/>
                    <w:jc w:val="left"/>
                    <w:jc w:val="center"/>
                  </w:pPr>
                  <w:r>
                    <w:t xml:space="preserve">Discriminatory policy</w:t>
                  </w:r>
                </w:p>
              </w:tc>
              <w:tc>
                <w:tcPr/>
                <w:p>
                  <w:pPr>
                    <w:pStyle w:val="Compact"/>
                    <w:jc w:val="left"/>
                    <w:jc w:val="center"/>
                  </w:pPr>
                  <w:r>
                    <w:t xml:space="preserve">Non-derogable rights</w:t>
                  </w:r>
                </w:p>
              </w:tc>
              <w:tc>
                <w:tcPr/>
                <w:p>
                  <w:pPr>
                    <w:pStyle w:val="Compact"/>
                    <w:jc w:val="left"/>
                    <w:jc w:val="center"/>
                  </w:pPr>
                  <w:r>
                    <w:t xml:space="preserve">Abusive enforcement</w:t>
                  </w:r>
                </w:p>
              </w:tc>
              <w:tc>
                <w:tcPr/>
                <w:p>
                  <w:pPr>
                    <w:pStyle w:val="Compact"/>
                    <w:jc w:val="left"/>
                    <w:jc w:val="center"/>
                  </w:pPr>
                  <w:r>
                    <w:t xml:space="preserve">No time limits</w:t>
                  </w:r>
                </w:p>
              </w:tc>
              <w:tc>
                <w:tcPr/>
                <w:p>
                  <w:pPr>
                    <w:pStyle w:val="Compact"/>
                    <w:jc w:val="left"/>
                    <w:jc w:val="center"/>
                  </w:pPr>
                  <w:r>
                    <w:t xml:space="preserve">Media restrictions</w:t>
                  </w:r>
                </w:p>
              </w:tc>
            </w:tr>
            <w:tr>
              <w:tc>
                <w:tcPr/>
                <w:p>
                  <w:pPr>
                    <w:pStyle w:val="Compact"/>
                    <w:jc w:val="left"/>
                    <w:jc w:val="center"/>
                  </w:pPr>
                  <w:r>
                    <w:t xml:space="preserve">Derogation in effect</w:t>
                  </w:r>
                </w:p>
              </w:tc>
              <w:tc>
                <w:tcPr/>
                <w:p>
                  <w:pPr>
                    <w:pStyle w:val="Compact"/>
                    <w:jc w:val="left"/>
                    <w:jc w:val="center"/>
                  </w:pPr>
                  <w:r>
                    <w:t xml:space="preserve">-0.45</w:t>
                  </w:r>
                </w:p>
              </w:tc>
              <w:tc>
                <w:tcPr/>
                <w:p>
                  <w:pPr>
                    <w:pStyle w:val="Compact"/>
                    <w:jc w:val="left"/>
                    <w:jc w:val="center"/>
                  </w:pPr>
                  <w:r>
                    <w:t xml:space="preserve">-4.1</w:t>
                  </w:r>
                </w:p>
              </w:tc>
              <w:tc>
                <w:tcPr/>
                <w:p>
                  <w:pPr>
                    <w:pStyle w:val="Compact"/>
                    <w:jc w:val="left"/>
                    <w:jc w:val="center"/>
                  </w:pPr>
                  <w:r>
                    <w:t xml:space="preserve">1.09</w:t>
                  </w:r>
                </w:p>
              </w:tc>
              <w:tc>
                <w:tcPr/>
                <w:p>
                  <w:pPr>
                    <w:pStyle w:val="Compact"/>
                    <w:jc w:val="left"/>
                    <w:jc w:val="center"/>
                  </w:pPr>
                  <w:r>
                    <w:t xml:space="preserve">-1.6</w:t>
                  </w:r>
                </w:p>
              </w:tc>
              <w:tc>
                <w:tcPr/>
                <w:p>
                  <w:pPr>
                    <w:pStyle w:val="Compact"/>
                    <w:jc w:val="left"/>
                    <w:jc w:val="center"/>
                  </w:pPr>
                  <w:r>
                    <w:t xml:space="preserve">-1.5</w:t>
                  </w:r>
                </w:p>
              </w:tc>
            </w:tr>
            <w:tr>
              <w:tc>
                <w:tcPr/>
                <w:p>
                  <w:pPr>
                    <w:pStyle w:val="Compact"/>
                  </w:pPr>
                </w:p>
              </w:tc>
              <w:tc>
                <w:tcPr/>
                <w:p>
                  <w:pPr>
                    <w:pStyle w:val="Compact"/>
                    <w:jc w:val="left"/>
                    <w:jc w:val="center"/>
                  </w:pPr>
                  <w:r>
                    <w:t xml:space="preserve">[-0.84, -0.11]</w:t>
                  </w:r>
                </w:p>
              </w:tc>
              <w:tc>
                <w:tcPr/>
                <w:p>
                  <w:pPr>
                    <w:pStyle w:val="Compact"/>
                    <w:jc w:val="left"/>
                    <w:jc w:val="center"/>
                  </w:pPr>
                  <w:r>
                    <w:t xml:space="preserve">[-9.6, -1.4]</w:t>
                  </w:r>
                </w:p>
              </w:tc>
              <w:tc>
                <w:tcPr/>
                <w:p>
                  <w:pPr>
                    <w:pStyle w:val="Compact"/>
                    <w:jc w:val="left"/>
                    <w:jc w:val="center"/>
                  </w:pPr>
                  <w:r>
                    <w:t xml:space="preserve">[0.91, 1.28]</w:t>
                  </w:r>
                </w:p>
              </w:tc>
              <w:tc>
                <w:tcPr/>
                <w:p>
                  <w:pPr>
                    <w:pStyle w:val="Compact"/>
                    <w:jc w:val="left"/>
                    <w:jc w:val="center"/>
                  </w:pPr>
                  <w:r>
                    <w:t xml:space="preserve">[-2.0, -1.2]</w:t>
                  </w:r>
                </w:p>
              </w:tc>
              <w:tc>
                <w:tcPr/>
                <w:p>
                  <w:pPr>
                    <w:pStyle w:val="Compact"/>
                    <w:jc w:val="left"/>
                    <w:jc w:val="center"/>
                  </w:pPr>
                  <w:r>
                    <w:t xml:space="preserve">[-1.7, -1.2]</w:t>
                  </w:r>
                </w:p>
              </w:tc>
            </w:tr>
            <w:tr>
              <w:tc>
                <w:tcPr/>
                <w:p>
                  <w:pPr>
                    <w:pStyle w:val="Compact"/>
                    <w:jc w:val="left"/>
                    <w:jc w:val="center"/>
                  </w:pPr>
                  <w:r>
                    <w:t xml:space="preserve">Pandemic backsliding (PanBack), dichotomous</w:t>
                  </w:r>
                </w:p>
              </w:tc>
              <w:tc>
                <w:tcPr/>
                <w:p>
                  <w:pPr>
                    <w:pStyle w:val="Compact"/>
                    <w:jc w:val="left"/>
                    <w:jc w:val="center"/>
                  </w:pPr>
                  <w:r>
                    <w:t xml:space="preserve">2.2</w:t>
                  </w:r>
                </w:p>
              </w:tc>
              <w:tc>
                <w:tcPr/>
                <w:p>
                  <w:pPr>
                    <w:pStyle w:val="Compact"/>
                    <w:jc w:val="left"/>
                    <w:jc w:val="center"/>
                  </w:pPr>
                  <w:r>
                    <w:t xml:space="preserve">2.9</w:t>
                  </w:r>
                </w:p>
              </w:tc>
              <w:tc>
                <w:tcPr/>
                <w:p>
                  <w:pPr>
                    <w:pStyle w:val="Compact"/>
                    <w:jc w:val="left"/>
                    <w:jc w:val="center"/>
                  </w:pPr>
                  <w:r>
                    <w:t xml:space="preserve">2.7</w:t>
                  </w:r>
                </w:p>
              </w:tc>
              <w:tc>
                <w:tcPr/>
                <w:p>
                  <w:pPr>
                    <w:pStyle w:val="Compact"/>
                    <w:jc w:val="left"/>
                    <w:jc w:val="center"/>
                  </w:pPr>
                  <w:r>
                    <w:t xml:space="preserve">0.30</w:t>
                  </w:r>
                </w:p>
              </w:tc>
              <w:tc>
                <w:tcPr/>
                <w:p>
                  <w:pPr>
                    <w:pStyle w:val="Compact"/>
                    <w:jc w:val="left"/>
                    <w:jc w:val="center"/>
                  </w:pPr>
                  <w:r>
                    <w:t xml:space="preserve">1.8</w:t>
                  </w:r>
                </w:p>
              </w:tc>
            </w:tr>
            <w:tr>
              <w:tc>
                <w:tcPr/>
                <w:p>
                  <w:pPr>
                    <w:pStyle w:val="Compact"/>
                  </w:pPr>
                </w:p>
              </w:tc>
              <w:tc>
                <w:tcPr/>
                <w:p>
                  <w:pPr>
                    <w:pStyle w:val="Compact"/>
                    <w:jc w:val="left"/>
                    <w:jc w:val="center"/>
                  </w:pPr>
                  <w:r>
                    <w:t xml:space="preserve">[2.1, 2.4]</w:t>
                  </w:r>
                </w:p>
              </w:tc>
              <w:tc>
                <w:tcPr/>
                <w:p>
                  <w:pPr>
                    <w:pStyle w:val="Compact"/>
                    <w:jc w:val="left"/>
                    <w:jc w:val="center"/>
                  </w:pPr>
                  <w:r>
                    <w:t xml:space="preserve">[2.7, 3.1]</w:t>
                  </w:r>
                </w:p>
              </w:tc>
              <w:tc>
                <w:tcPr/>
                <w:p>
                  <w:pPr>
                    <w:pStyle w:val="Compact"/>
                    <w:jc w:val="left"/>
                    <w:jc w:val="center"/>
                  </w:pPr>
                  <w:r>
                    <w:t xml:space="preserve">[2.6, 2.9]</w:t>
                  </w:r>
                </w:p>
              </w:tc>
              <w:tc>
                <w:tcPr/>
                <w:p>
                  <w:pPr>
                    <w:pStyle w:val="Compact"/>
                    <w:jc w:val="left"/>
                    <w:jc w:val="center"/>
                  </w:pPr>
                  <w:r>
                    <w:t xml:space="preserve">[0.12, 0.47]</w:t>
                  </w:r>
                </w:p>
              </w:tc>
              <w:tc>
                <w:tcPr/>
                <w:p>
                  <w:pPr>
                    <w:pStyle w:val="Compact"/>
                    <w:jc w:val="left"/>
                    <w:jc w:val="center"/>
                  </w:pPr>
                  <w:r>
                    <w:t xml:space="preserve">[1.6, 2.1]</w:t>
                  </w:r>
                </w:p>
              </w:tc>
            </w:tr>
            <w:tr>
              <w:tc>
                <w:tcPr/>
                <w:p>
                  <w:pPr>
                    <w:pStyle w:val="Compact"/>
                    <w:jc w:val="left"/>
                    <w:jc w:val="center"/>
                  </w:pPr>
                  <w:r>
                    <w:t xml:space="preserve">Derogation in effect × Pandemic backsliding</w:t>
                  </w:r>
                </w:p>
              </w:tc>
              <w:tc>
                <w:tcPr/>
                <w:p>
                  <w:pPr>
                    <w:pStyle w:val="Compact"/>
                    <w:jc w:val="left"/>
                    <w:jc w:val="center"/>
                  </w:pPr>
                  <w:r>
                    <w:t xml:space="preserve">-8.5</w:t>
                  </w:r>
                </w:p>
              </w:tc>
              <w:tc>
                <w:tcPr/>
                <w:p>
                  <w:pPr>
                    <w:pStyle w:val="Compact"/>
                    <w:jc w:val="left"/>
                    <w:jc w:val="center"/>
                  </w:pPr>
                  <w:r>
                    <w:t xml:space="preserve">3.9</w:t>
                  </w:r>
                </w:p>
              </w:tc>
              <w:tc>
                <w:tcPr/>
                <w:p>
                  <w:pPr>
                    <w:pStyle w:val="Compact"/>
                    <w:jc w:val="left"/>
                    <w:jc w:val="center"/>
                  </w:pPr>
                  <w:r>
                    <w:t xml:space="preserve">-1.9</w:t>
                  </w:r>
                </w:p>
              </w:tc>
              <w:tc>
                <w:tcPr/>
                <w:p>
                  <w:pPr>
                    <w:pStyle w:val="Compact"/>
                    <w:jc w:val="left"/>
                    <w:jc w:val="center"/>
                  </w:pPr>
                  <w:r>
                    <w:t xml:space="preserve">1.07</w:t>
                  </w:r>
                </w:p>
              </w:tc>
              <w:tc>
                <w:tcPr/>
                <w:p>
                  <w:pPr>
                    <w:pStyle w:val="Compact"/>
                    <w:jc w:val="left"/>
                    <w:jc w:val="center"/>
                  </w:pPr>
                  <w:r>
                    <w:t xml:space="preserve">6.62</w:t>
                  </w:r>
                </w:p>
              </w:tc>
            </w:tr>
            <w:tr>
              <w:tc>
                <w:tcPr/>
                <w:p>
                  <w:pPr>
                    <w:pStyle w:val="Compact"/>
                  </w:pPr>
                </w:p>
              </w:tc>
              <w:tc>
                <w:tcPr/>
                <w:p>
                  <w:pPr>
                    <w:pStyle w:val="Compact"/>
                    <w:jc w:val="left"/>
                    <w:jc w:val="center"/>
                  </w:pPr>
                  <w:r>
                    <w:t xml:space="preserve">[-54.4, -2.0]</w:t>
                  </w:r>
                </w:p>
              </w:tc>
              <w:tc>
                <w:tcPr/>
                <w:p>
                  <w:pPr>
                    <w:pStyle w:val="Compact"/>
                    <w:jc w:val="left"/>
                    <w:jc w:val="center"/>
                  </w:pPr>
                  <w:r>
                    <w:t xml:space="preserve">[1.0, 9.5]</w:t>
                  </w:r>
                </w:p>
              </w:tc>
              <w:tc>
                <w:tcPr/>
                <w:p>
                  <w:pPr>
                    <w:pStyle w:val="Compact"/>
                    <w:jc w:val="left"/>
                    <w:jc w:val="center"/>
                  </w:pPr>
                  <w:r>
                    <w:t xml:space="preserve">[-2.4, -1.4]</w:t>
                  </w:r>
                </w:p>
              </w:tc>
              <w:tc>
                <w:tcPr/>
                <w:p>
                  <w:pPr>
                    <w:pStyle w:val="Compact"/>
                    <w:jc w:val="left"/>
                    <w:jc w:val="center"/>
                  </w:pPr>
                  <w:r>
                    <w:t xml:space="preserve">[0.25, 1.89]</w:t>
                  </w:r>
                </w:p>
              </w:tc>
              <w:tc>
                <w:tcPr/>
                <w:p>
                  <w:pPr>
                    <w:pStyle w:val="Compact"/>
                    <w:jc w:val="left"/>
                    <w:jc w:val="center"/>
                  </w:pPr>
                  <w:r>
                    <w:t xml:space="preserve">[0.59, 46.63]</w:t>
                  </w:r>
                </w:p>
              </w:tc>
            </w:tr>
            <w:tr>
              <w:tc>
                <w:tcPr/>
                <w:p>
                  <w:pPr>
                    <w:pStyle w:val="Compact"/>
                    <w:jc w:val="left"/>
                    <w:jc w:val="center"/>
                  </w:pPr>
                  <w:r>
                    <w:t xml:space="preserve">New cases (standardized)</w:t>
                  </w:r>
                </w:p>
              </w:tc>
              <w:tc>
                <w:tcPr/>
                <w:p>
                  <w:pPr>
                    <w:pStyle w:val="Compact"/>
                    <w:jc w:val="left"/>
                    <w:jc w:val="center"/>
                  </w:pPr>
                  <w:r>
                    <w:t xml:space="preserve">0.0897</w:t>
                  </w:r>
                </w:p>
              </w:tc>
              <w:tc>
                <w:tcPr/>
                <w:p>
                  <w:pPr>
                    <w:pStyle w:val="Compact"/>
                    <w:jc w:val="left"/>
                    <w:jc w:val="center"/>
                  </w:pPr>
                  <w:r>
                    <w:t xml:space="preserve">-0.066</w:t>
                  </w:r>
                </w:p>
              </w:tc>
              <w:tc>
                <w:tcPr/>
                <w:p>
                  <w:pPr>
                    <w:pStyle w:val="Compact"/>
                    <w:jc w:val="left"/>
                    <w:jc w:val="center"/>
                  </w:pPr>
                  <w:r>
                    <w:t xml:space="preserve">0.013</w:t>
                  </w:r>
                </w:p>
              </w:tc>
              <w:tc>
                <w:tcPr/>
                <w:p>
                  <w:pPr>
                    <w:pStyle w:val="Compact"/>
                    <w:jc w:val="left"/>
                    <w:jc w:val="center"/>
                  </w:pPr>
                  <w:r>
                    <w:t xml:space="preserve">-0.116</w:t>
                  </w:r>
                </w:p>
              </w:tc>
              <w:tc>
                <w:tcPr/>
                <w:p>
                  <w:pPr>
                    <w:pStyle w:val="Compact"/>
                    <w:jc w:val="left"/>
                    <w:jc w:val="center"/>
                  </w:pPr>
                  <w:r>
                    <w:t xml:space="preserve">0.19</w:t>
                  </w:r>
                </w:p>
              </w:tc>
            </w:tr>
            <w:tr>
              <w:tc>
                <w:tcPr/>
                <w:p>
                  <w:pPr>
                    <w:pStyle w:val="Compact"/>
                  </w:pPr>
                </w:p>
              </w:tc>
              <w:tc>
                <w:tcPr/>
                <w:p>
                  <w:pPr>
                    <w:pStyle w:val="Compact"/>
                    <w:jc w:val="left"/>
                    <w:jc w:val="center"/>
                  </w:pPr>
                  <w:r>
                    <w:t xml:space="preserve">[-0.0016, 0.1801]</w:t>
                  </w:r>
                </w:p>
              </w:tc>
              <w:tc>
                <w:tcPr/>
                <w:p>
                  <w:pPr>
                    <w:pStyle w:val="Compact"/>
                    <w:jc w:val="left"/>
                    <w:jc w:val="center"/>
                  </w:pPr>
                  <w:r>
                    <w:t xml:space="preserve">[-0.352, 0.242]</w:t>
                  </w:r>
                </w:p>
              </w:tc>
              <w:tc>
                <w:tcPr/>
                <w:p>
                  <w:pPr>
                    <w:pStyle w:val="Compact"/>
                    <w:jc w:val="left"/>
                    <w:jc w:val="center"/>
                  </w:pPr>
                  <w:r>
                    <w:t xml:space="preserve">[-0.059, 0.091]</w:t>
                  </w:r>
                </w:p>
              </w:tc>
              <w:tc>
                <w:tcPr/>
                <w:p>
                  <w:pPr>
                    <w:pStyle w:val="Compact"/>
                    <w:jc w:val="left"/>
                    <w:jc w:val="center"/>
                  </w:pPr>
                  <w:r>
                    <w:t xml:space="preserve">[-0.287, 0.021]</w:t>
                  </w:r>
                </w:p>
              </w:tc>
              <w:tc>
                <w:tcPr/>
                <w:p>
                  <w:pPr>
                    <w:pStyle w:val="Compact"/>
                    <w:jc w:val="left"/>
                    <w:jc w:val="center"/>
                  </w:pPr>
                  <w:r>
                    <w:t xml:space="preserve">[0.11, 0.30]</w:t>
                  </w:r>
                </w:p>
              </w:tc>
            </w:tr>
            <w:tr>
              <w:tc>
                <w:tcPr/>
                <w:p>
                  <w:pPr>
                    <w:pStyle w:val="Compact"/>
                    <w:jc w:val="left"/>
                    <w:jc w:val="center"/>
                  </w:pPr>
                  <w:r>
                    <w:t xml:space="preserve">New deaths (standardized)</w:t>
                  </w:r>
                </w:p>
              </w:tc>
              <w:tc>
                <w:tcPr/>
                <w:p>
                  <w:pPr>
                    <w:pStyle w:val="Compact"/>
                    <w:jc w:val="left"/>
                    <w:jc w:val="center"/>
                  </w:pPr>
                  <w:r>
                    <w:t xml:space="preserve">-0.23</w:t>
                  </w:r>
                </w:p>
              </w:tc>
              <w:tc>
                <w:tcPr/>
                <w:p>
                  <w:pPr>
                    <w:pStyle w:val="Compact"/>
                    <w:jc w:val="left"/>
                    <w:jc w:val="center"/>
                  </w:pPr>
                  <w:r>
                    <w:t xml:space="preserve">-0.331</w:t>
                  </w:r>
                </w:p>
              </w:tc>
              <w:tc>
                <w:tcPr/>
                <w:p>
                  <w:pPr>
                    <w:pStyle w:val="Compact"/>
                    <w:jc w:val="left"/>
                    <w:jc w:val="center"/>
                  </w:pPr>
                  <w:r>
                    <w:t xml:space="preserve">-0.013</w:t>
                  </w:r>
                </w:p>
              </w:tc>
              <w:tc>
                <w:tcPr/>
                <w:p>
                  <w:pPr>
                    <w:pStyle w:val="Compact"/>
                    <w:jc w:val="left"/>
                    <w:jc w:val="center"/>
                  </w:pPr>
                  <w:r>
                    <w:t xml:space="preserve">0.1121</w:t>
                  </w:r>
                </w:p>
              </w:tc>
              <w:tc>
                <w:tcPr/>
                <w:p>
                  <w:pPr>
                    <w:pStyle w:val="Compact"/>
                    <w:jc w:val="left"/>
                    <w:jc w:val="center"/>
                  </w:pPr>
                  <w:r>
                    <w:t xml:space="preserve">-0.15</w:t>
                  </w:r>
                </w:p>
              </w:tc>
            </w:tr>
            <w:tr>
              <w:tc>
                <w:tcPr/>
                <w:p>
                  <w:pPr>
                    <w:pStyle w:val="Compact"/>
                  </w:pPr>
                </w:p>
              </w:tc>
              <w:tc>
                <w:tcPr/>
                <w:p>
                  <w:pPr>
                    <w:pStyle w:val="Compact"/>
                    <w:jc w:val="left"/>
                    <w:jc w:val="center"/>
                  </w:pPr>
                  <w:r>
                    <w:t xml:space="preserve">[-0.35, -0.11]</w:t>
                  </w:r>
                </w:p>
              </w:tc>
              <w:tc>
                <w:tcPr/>
                <w:p>
                  <w:pPr>
                    <w:pStyle w:val="Compact"/>
                    <w:jc w:val="left"/>
                    <w:jc w:val="center"/>
                  </w:pPr>
                  <w:r>
                    <w:t xml:space="preserve">[-0.627, -0.042]</w:t>
                  </w:r>
                </w:p>
              </w:tc>
              <w:tc>
                <w:tcPr/>
                <w:p>
                  <w:pPr>
                    <w:pStyle w:val="Compact"/>
                    <w:jc w:val="left"/>
                    <w:jc w:val="center"/>
                  </w:pPr>
                  <w:r>
                    <w:t xml:space="preserve">[-0.095, 0.078]</w:t>
                  </w:r>
                </w:p>
              </w:tc>
              <w:tc>
                <w:tcPr/>
                <w:p>
                  <w:pPr>
                    <w:pStyle w:val="Compact"/>
                    <w:jc w:val="left"/>
                    <w:jc w:val="center"/>
                  </w:pPr>
                  <w:r>
                    <w:t xml:space="preserve">[0.0052, 0.2310]</w:t>
                  </w:r>
                </w:p>
              </w:tc>
              <w:tc>
                <w:tcPr/>
                <w:p>
                  <w:pPr>
                    <w:pStyle w:val="Compact"/>
                    <w:jc w:val="left"/>
                    <w:jc w:val="center"/>
                  </w:pPr>
                  <w:r>
                    <w:t xml:space="preserve">[-0.24, -0.06]</w:t>
                  </w:r>
                </w:p>
              </w:tc>
            </w:tr>
            <w:tr>
              <w:tc>
                <w:tcPr/>
                <w:p>
                  <w:pPr>
                    <w:pStyle w:val="Compact"/>
                    <w:jc w:val="left"/>
                    <w:jc w:val="center"/>
                  </w:pPr>
                  <w:r>
                    <w:t xml:space="preserve">Cumulative cases (standardized)</w:t>
                  </w:r>
                </w:p>
              </w:tc>
              <w:tc>
                <w:tcPr/>
                <w:p>
                  <w:pPr>
                    <w:pStyle w:val="Compact"/>
                    <w:jc w:val="left"/>
                    <w:jc w:val="center"/>
                  </w:pPr>
                  <w:r>
                    <w:t xml:space="preserve">0.36</w:t>
                  </w:r>
                </w:p>
              </w:tc>
              <w:tc>
                <w:tcPr/>
                <w:p>
                  <w:pPr>
                    <w:pStyle w:val="Compact"/>
                    <w:jc w:val="left"/>
                    <w:jc w:val="center"/>
                  </w:pPr>
                  <w:r>
                    <w:t xml:space="preserve">-0.017</w:t>
                  </w:r>
                </w:p>
              </w:tc>
              <w:tc>
                <w:tcPr/>
                <w:p>
                  <w:pPr>
                    <w:pStyle w:val="Compact"/>
                    <w:jc w:val="left"/>
                    <w:jc w:val="center"/>
                  </w:pPr>
                  <w:r>
                    <w:t xml:space="preserve">0.121</w:t>
                  </w:r>
                </w:p>
              </w:tc>
              <w:tc>
                <w:tcPr/>
                <w:p>
                  <w:pPr>
                    <w:pStyle w:val="Compact"/>
                    <w:jc w:val="left"/>
                    <w:jc w:val="center"/>
                  </w:pPr>
                  <w:r>
                    <w:t xml:space="preserve">-0.51</w:t>
                  </w:r>
                </w:p>
              </w:tc>
              <w:tc>
                <w:tcPr/>
                <w:p>
                  <w:pPr>
                    <w:pStyle w:val="Compact"/>
                    <w:jc w:val="left"/>
                    <w:jc w:val="center"/>
                  </w:pPr>
                  <w:r>
                    <w:t xml:space="preserve">0.141</w:t>
                  </w:r>
                </w:p>
              </w:tc>
            </w:tr>
            <w:tr>
              <w:tc>
                <w:tcPr/>
                <w:p>
                  <w:pPr>
                    <w:pStyle w:val="Compact"/>
                  </w:pPr>
                </w:p>
              </w:tc>
              <w:tc>
                <w:tcPr/>
                <w:p>
                  <w:pPr>
                    <w:pStyle w:val="Compact"/>
                    <w:jc w:val="left"/>
                    <w:jc w:val="center"/>
                  </w:pPr>
                  <w:r>
                    <w:t xml:space="preserve">[0.20, 0.53]</w:t>
                  </w:r>
                </w:p>
              </w:tc>
              <w:tc>
                <w:tcPr/>
                <w:p>
                  <w:pPr>
                    <w:pStyle w:val="Compact"/>
                    <w:jc w:val="left"/>
                    <w:jc w:val="center"/>
                  </w:pPr>
                  <w:r>
                    <w:t xml:space="preserve">[-0.382, 0.340]</w:t>
                  </w:r>
                </w:p>
              </w:tc>
              <w:tc>
                <w:tcPr/>
                <w:p>
                  <w:pPr>
                    <w:pStyle w:val="Compact"/>
                    <w:jc w:val="left"/>
                    <w:jc w:val="center"/>
                  </w:pPr>
                  <w:r>
                    <w:t xml:space="preserve">[0.011, 0.249]</w:t>
                  </w:r>
                </w:p>
              </w:tc>
              <w:tc>
                <w:tcPr/>
                <w:p>
                  <w:pPr>
                    <w:pStyle w:val="Compact"/>
                    <w:jc w:val="left"/>
                    <w:jc w:val="center"/>
                  </w:pPr>
                  <w:r>
                    <w:t xml:space="preserve">[-0.70, -0.30]</w:t>
                  </w:r>
                </w:p>
              </w:tc>
              <w:tc>
                <w:tcPr/>
                <w:p>
                  <w:pPr>
                    <w:pStyle w:val="Compact"/>
                    <w:jc w:val="left"/>
                    <w:jc w:val="center"/>
                  </w:pPr>
                  <w:r>
                    <w:t xml:space="preserve">[0.024, 0.263]</w:t>
                  </w:r>
                </w:p>
              </w:tc>
            </w:tr>
            <w:tr>
              <w:tc>
                <w:tcPr/>
                <w:p>
                  <w:pPr>
                    <w:pStyle w:val="Compact"/>
                    <w:jc w:val="left"/>
                    <w:jc w:val="center"/>
                  </w:pPr>
                  <w:r>
                    <w:t xml:space="preserve">Cumulative deaths (standardized)</w:t>
                  </w:r>
                </w:p>
              </w:tc>
              <w:tc>
                <w:tcPr/>
                <w:p>
                  <w:pPr>
                    <w:pStyle w:val="Compact"/>
                    <w:jc w:val="left"/>
                    <w:jc w:val="center"/>
                  </w:pPr>
                  <w:r>
                    <w:t xml:space="preserve">-0.286</w:t>
                  </w:r>
                </w:p>
              </w:tc>
              <w:tc>
                <w:tcPr/>
                <w:p>
                  <w:pPr>
                    <w:pStyle w:val="Compact"/>
                    <w:jc w:val="left"/>
                    <w:jc w:val="center"/>
                  </w:pPr>
                  <w:r>
                    <w:t xml:space="preserve">-0.026</w:t>
                  </w:r>
                </w:p>
              </w:tc>
              <w:tc>
                <w:tcPr/>
                <w:p>
                  <w:pPr>
                    <w:pStyle w:val="Compact"/>
                    <w:jc w:val="left"/>
                    <w:jc w:val="center"/>
                  </w:pPr>
                  <w:r>
                    <w:t xml:space="preserve">-0.029</w:t>
                  </w:r>
                </w:p>
              </w:tc>
              <w:tc>
                <w:tcPr/>
                <w:p>
                  <w:pPr>
                    <w:pStyle w:val="Compact"/>
                    <w:jc w:val="left"/>
                    <w:jc w:val="center"/>
                  </w:pPr>
                  <w:r>
                    <w:t xml:space="preserve">0.39</w:t>
                  </w:r>
                </w:p>
              </w:tc>
              <w:tc>
                <w:tcPr/>
                <w:p>
                  <w:pPr>
                    <w:pStyle w:val="Compact"/>
                    <w:jc w:val="left"/>
                    <w:jc w:val="center"/>
                  </w:pPr>
                  <w:r>
                    <w:t xml:space="preserve">-0.080</w:t>
                  </w:r>
                </w:p>
              </w:tc>
            </w:tr>
            <w:tr>
              <w:tc>
                <w:tcPr/>
                <w:p>
                  <w:pPr>
                    <w:pStyle w:val="Compact"/>
                  </w:pPr>
                </w:p>
              </w:tc>
              <w:tc>
                <w:tcPr/>
                <w:p>
                  <w:pPr>
                    <w:pStyle w:val="Compact"/>
                    <w:jc w:val="left"/>
                    <w:jc w:val="center"/>
                  </w:pPr>
                  <w:r>
                    <w:t xml:space="preserve">[-0.478, -0.098]</w:t>
                  </w:r>
                </w:p>
              </w:tc>
              <w:tc>
                <w:tcPr/>
                <w:p>
                  <w:pPr>
                    <w:pStyle w:val="Compact"/>
                    <w:jc w:val="left"/>
                    <w:jc w:val="center"/>
                  </w:pPr>
                  <w:r>
                    <w:t xml:space="preserve">[-0.397, 0.330]</w:t>
                  </w:r>
                </w:p>
              </w:tc>
              <w:tc>
                <w:tcPr/>
                <w:p>
                  <w:pPr>
                    <w:pStyle w:val="Compact"/>
                    <w:jc w:val="left"/>
                    <w:jc w:val="center"/>
                  </w:pPr>
                  <w:r>
                    <w:t xml:space="preserve">[-0.153, 0.094]</w:t>
                  </w:r>
                </w:p>
              </w:tc>
              <w:tc>
                <w:tcPr/>
                <w:p>
                  <w:pPr>
                    <w:pStyle w:val="Compact"/>
                    <w:jc w:val="left"/>
                    <w:jc w:val="center"/>
                  </w:pPr>
                  <w:r>
                    <w:t xml:space="preserve">[0.24, 0.55]</w:t>
                  </w:r>
                </w:p>
              </w:tc>
              <w:tc>
                <w:tcPr/>
                <w:p>
                  <w:pPr>
                    <w:pStyle w:val="Compact"/>
                    <w:jc w:val="left"/>
                    <w:jc w:val="center"/>
                  </w:pPr>
                  <w:r>
                    <w:t xml:space="preserve">[-0.200, 0.029]</w:t>
                  </w:r>
                </w:p>
              </w:tc>
            </w:tr>
            <w:tr>
              <w:tc>
                <w:tcPr/>
                <w:p>
                  <w:pPr>
                    <w:pStyle w:val="Compact"/>
                    <w:jc w:val="left"/>
                    <w:jc w:val="center"/>
                  </w:pPr>
                  <w:r>
                    <w:t xml:space="preserve">Rule of law index</w:t>
                  </w:r>
                </w:p>
              </w:tc>
              <w:tc>
                <w:tcPr/>
                <w:p>
                  <w:pPr>
                    <w:pStyle w:val="Compact"/>
                    <w:jc w:val="left"/>
                    <w:jc w:val="center"/>
                  </w:pPr>
                  <w:r>
                    <w:t xml:space="preserve">0.69</w:t>
                  </w:r>
                </w:p>
              </w:tc>
              <w:tc>
                <w:tcPr/>
                <w:p>
                  <w:pPr>
                    <w:pStyle w:val="Compact"/>
                    <w:jc w:val="left"/>
                    <w:jc w:val="center"/>
                  </w:pPr>
                  <w:r>
                    <w:t xml:space="preserve">-0.64</w:t>
                  </w:r>
                </w:p>
              </w:tc>
              <w:tc>
                <w:tcPr/>
                <w:p>
                  <w:pPr>
                    <w:pStyle w:val="Compact"/>
                    <w:jc w:val="left"/>
                    <w:jc w:val="center"/>
                  </w:pPr>
                  <w:r>
                    <w:t xml:space="preserve">-1.11</w:t>
                  </w:r>
                </w:p>
              </w:tc>
              <w:tc>
                <w:tcPr/>
                <w:p>
                  <w:pPr>
                    <w:pStyle w:val="Compact"/>
                    <w:jc w:val="left"/>
                    <w:jc w:val="center"/>
                  </w:pPr>
                  <w:r>
                    <w:t xml:space="preserve">-0.34</w:t>
                  </w:r>
                </w:p>
              </w:tc>
              <w:tc>
                <w:tcPr/>
                <w:p>
                  <w:pPr>
                    <w:pStyle w:val="Compact"/>
                    <w:jc w:val="left"/>
                    <w:jc w:val="center"/>
                  </w:pPr>
                  <w:r>
                    <w:t xml:space="preserve">-5.2</w:t>
                  </w:r>
                </w:p>
              </w:tc>
            </w:tr>
            <w:tr>
              <w:tc>
                <w:tcPr/>
                <w:p>
                  <w:pPr>
                    <w:pStyle w:val="Compact"/>
                  </w:pPr>
                </w:p>
              </w:tc>
              <w:tc>
                <w:tcPr/>
                <w:p>
                  <w:pPr>
                    <w:pStyle w:val="Compact"/>
                    <w:jc w:val="left"/>
                    <w:jc w:val="center"/>
                  </w:pPr>
                  <w:r>
                    <w:t xml:space="preserve">[0.48, 0.90]</w:t>
                  </w:r>
                </w:p>
              </w:tc>
              <w:tc>
                <w:tcPr/>
                <w:p>
                  <w:pPr>
                    <w:pStyle w:val="Compact"/>
                    <w:jc w:val="left"/>
                    <w:jc w:val="center"/>
                  </w:pPr>
                  <w:r>
                    <w:t xml:space="preserve">[-0.95, -0.32]</w:t>
                  </w:r>
                </w:p>
              </w:tc>
              <w:tc>
                <w:tcPr/>
                <w:p>
                  <w:pPr>
                    <w:pStyle w:val="Compact"/>
                    <w:jc w:val="left"/>
                    <w:jc w:val="center"/>
                  </w:pPr>
                  <w:r>
                    <w:t xml:space="preserve">[-1.26, -0.95]</w:t>
                  </w:r>
                </w:p>
              </w:tc>
              <w:tc>
                <w:tcPr/>
                <w:p>
                  <w:pPr>
                    <w:pStyle w:val="Compact"/>
                    <w:jc w:val="left"/>
                    <w:jc w:val="center"/>
                  </w:pPr>
                  <w:r>
                    <w:t xml:space="preserve">[-0.50, -0.18]</w:t>
                  </w:r>
                </w:p>
              </w:tc>
              <w:tc>
                <w:tcPr/>
                <w:p>
                  <w:pPr>
                    <w:pStyle w:val="Compact"/>
                    <w:jc w:val="left"/>
                    <w:jc w:val="center"/>
                  </w:pPr>
                  <w:r>
                    <w:t xml:space="preserve">[-5.3, -5.0]</w:t>
                  </w:r>
                </w:p>
              </w:tc>
            </w:tr>
            <w:tr>
              <w:tc>
                <w:tcPr/>
                <w:p>
                  <w:pPr>
                    <w:pStyle w:val="Compact"/>
                    <w:jc w:val="left"/>
                    <w:jc w:val="center"/>
                  </w:pPr>
                  <w:r>
                    <w:t xml:space="preserve">Year-week number</w:t>
                  </w:r>
                </w:p>
              </w:tc>
              <w:tc>
                <w:tcPr/>
                <w:p>
                  <w:pPr>
                    <w:pStyle w:val="Compact"/>
                    <w:jc w:val="left"/>
                    <w:jc w:val="center"/>
                  </w:pPr>
                  <w:r>
                    <w:t xml:space="preserve">-0.0091</w:t>
                  </w:r>
                </w:p>
              </w:tc>
              <w:tc>
                <w:tcPr/>
                <w:p>
                  <w:pPr>
                    <w:pStyle w:val="Compact"/>
                    <w:jc w:val="left"/>
                    <w:jc w:val="center"/>
                  </w:pPr>
                  <w:r>
                    <w:t xml:space="preserve">-0.0014</w:t>
                  </w:r>
                </w:p>
              </w:tc>
              <w:tc>
                <w:tcPr/>
                <w:p>
                  <w:pPr>
                    <w:pStyle w:val="Compact"/>
                    <w:jc w:val="left"/>
                    <w:jc w:val="center"/>
                  </w:pPr>
                  <w:r>
                    <w:t xml:space="preserve">-0.024</w:t>
                  </w:r>
                </w:p>
              </w:tc>
              <w:tc>
                <w:tcPr/>
                <w:p>
                  <w:pPr>
                    <w:pStyle w:val="Compact"/>
                    <w:jc w:val="left"/>
                    <w:jc w:val="center"/>
                  </w:pPr>
                  <w:r>
                    <w:t xml:space="preserve">0.0042</w:t>
                  </w:r>
                </w:p>
              </w:tc>
              <w:tc>
                <w:tcPr/>
                <w:p>
                  <w:pPr>
                    <w:pStyle w:val="Compact"/>
                    <w:jc w:val="left"/>
                    <w:jc w:val="center"/>
                  </w:pPr>
                  <w:r>
                    <w:t xml:space="preserve">-0.016</w:t>
                  </w:r>
                </w:p>
              </w:tc>
            </w:tr>
            <w:tr>
              <w:tc>
                <w:tcPr/>
                <w:p>
                  <w:pPr>
                    <w:pStyle w:val="Compact"/>
                  </w:pPr>
                </w:p>
              </w:tc>
              <w:tc>
                <w:tcPr/>
                <w:p>
                  <w:pPr>
                    <w:pStyle w:val="Compact"/>
                    <w:jc w:val="left"/>
                    <w:jc w:val="center"/>
                  </w:pPr>
                  <w:r>
                    <w:t xml:space="preserve">[-0.0123, -0.0061]</w:t>
                  </w:r>
                </w:p>
              </w:tc>
              <w:tc>
                <w:tcPr/>
                <w:p>
                  <w:pPr>
                    <w:pStyle w:val="Compact"/>
                    <w:jc w:val="left"/>
                    <w:jc w:val="center"/>
                  </w:pPr>
                  <w:r>
                    <w:t xml:space="preserve">[-0.0058, 0.0028]</w:t>
                  </w:r>
                </w:p>
              </w:tc>
              <w:tc>
                <w:tcPr/>
                <w:p>
                  <w:pPr>
                    <w:pStyle w:val="Compact"/>
                    <w:jc w:val="left"/>
                    <w:jc w:val="center"/>
                  </w:pPr>
                  <w:r>
                    <w:t xml:space="preserve">[-0.026, -0.021]</w:t>
                  </w:r>
                </w:p>
              </w:tc>
              <w:tc>
                <w:tcPr/>
                <w:p>
                  <w:pPr>
                    <w:pStyle w:val="Compact"/>
                    <w:jc w:val="left"/>
                    <w:jc w:val="center"/>
                  </w:pPr>
                  <w:r>
                    <w:t xml:space="preserve">[0.0017, 0.0065]</w:t>
                  </w:r>
                </w:p>
              </w:tc>
              <w:tc>
                <w:tcPr/>
                <w:p>
                  <w:pPr>
                    <w:pStyle w:val="Compact"/>
                    <w:jc w:val="left"/>
                    <w:jc w:val="center"/>
                  </w:pPr>
                  <w:r>
                    <w:t xml:space="preserve">[-0.018, -0.013]</w:t>
                  </w:r>
                </w:p>
              </w:tc>
            </w:tr>
            <w:tr>
              <w:tc>
                <w:tcPr/>
                <w:p>
                  <w:pPr>
                    <w:pStyle w:val="Compact"/>
                    <w:jc w:val="left"/>
                    <w:jc w:val="center"/>
                  </w:pPr>
                  <w:r>
                    <w:t xml:space="preserve">Intercept</w:t>
                  </w:r>
                </w:p>
              </w:tc>
              <w:tc>
                <w:tcPr/>
                <w:p>
                  <w:pPr>
                    <w:pStyle w:val="Compact"/>
                  </w:pPr>
                </w:p>
              </w:tc>
              <w:tc>
                <w:tcPr/>
                <w:p>
                  <w:pPr>
                    <w:pStyle w:val="Compact"/>
                    <w:jc w:val="left"/>
                    <w:jc w:val="center"/>
                  </w:pPr>
                  <w:r>
                    <w:t xml:space="preserve">-2.8</w:t>
                  </w:r>
                </w:p>
              </w:tc>
              <w:tc>
                <w:tcPr/>
                <w:p>
                  <w:pPr>
                    <w:pStyle w:val="Compact"/>
                  </w:pPr>
                </w:p>
              </w:tc>
              <w:tc>
                <w:tcPr/>
                <w:p>
                  <w:pPr>
                    <w:pStyle w:val="Compact"/>
                    <w:jc w:val="left"/>
                    <w:jc w:val="center"/>
                  </w:pPr>
                  <w:r>
                    <w:t xml:space="preserve">-1.08</w:t>
                  </w:r>
                </w:p>
              </w:tc>
              <w:tc>
                <w:tcPr/>
                <w:p>
                  <w:pPr>
                    <w:pStyle w:val="Compact"/>
                  </w:pPr>
                </w:p>
              </w:tc>
            </w:tr>
            <w:tr>
              <w:tc>
                <w:tcPr/>
                <w:p>
                  <w:pPr>
                    <w:pStyle w:val="Compact"/>
                  </w:pPr>
                </w:p>
              </w:tc>
              <w:tc>
                <w:tcPr/>
                <w:p>
                  <w:pPr>
                    <w:pStyle w:val="Compact"/>
                  </w:pPr>
                </w:p>
              </w:tc>
              <w:tc>
                <w:tcPr/>
                <w:p>
                  <w:pPr>
                    <w:pStyle w:val="Compact"/>
                    <w:jc w:val="left"/>
                    <w:jc w:val="center"/>
                  </w:pPr>
                  <w:r>
                    <w:t xml:space="preserve">[-3.0, -2.5]</w:t>
                  </w:r>
                </w:p>
              </w:tc>
              <w:tc>
                <w:tcPr/>
                <w:p>
                  <w:pPr>
                    <w:pStyle w:val="Compact"/>
                  </w:pPr>
                </w:p>
              </w:tc>
              <w:tc>
                <w:tcPr/>
                <w:p>
                  <w:pPr>
                    <w:pStyle w:val="Compact"/>
                    <w:jc w:val="left"/>
                    <w:jc w:val="center"/>
                  </w:pPr>
                  <w:r>
                    <w:t xml:space="preserve">[-1.21, -0.95]</w:t>
                  </w:r>
                </w:p>
              </w:tc>
              <w:tc>
                <w:tcPr/>
                <w:p>
                  <w:pPr>
                    <w:pStyle w:val="Compact"/>
                  </w:pPr>
                </w:p>
              </w:tc>
            </w:tr>
            <w:tr>
              <w:tc>
                <w:tcPr/>
                <w:p>
                  <w:pPr>
                    <w:pStyle w:val="Compact"/>
                    <w:jc w:val="left"/>
                    <w:jc w:val="center"/>
                  </w:pPr>
                  <w:r>
                    <w:t xml:space="preserve">Cut 1</w:t>
                  </w:r>
                </w:p>
              </w:tc>
              <w:tc>
                <w:tcPr/>
                <w:p>
                  <w:pPr>
                    <w:pStyle w:val="Compact"/>
                    <w:jc w:val="left"/>
                    <w:jc w:val="center"/>
                  </w:pPr>
                  <w:r>
                    <w:t xml:space="preserve">2.2</w:t>
                  </w:r>
                </w:p>
              </w:tc>
              <w:tc>
                <w:tcPr/>
                <w:p>
                  <w:pPr>
                    <w:pStyle w:val="Compact"/>
                  </w:pPr>
                </w:p>
              </w:tc>
              <w:tc>
                <w:tcPr/>
                <w:p>
                  <w:pPr>
                    <w:pStyle w:val="Compact"/>
                    <w:jc w:val="left"/>
                    <w:jc w:val="center"/>
                  </w:pPr>
                  <w:r>
                    <w:t xml:space="preserve">-0.182</w:t>
                  </w:r>
                </w:p>
              </w:tc>
              <w:tc>
                <w:tcPr/>
                <w:p>
                  <w:pPr>
                    <w:pStyle w:val="Compact"/>
                  </w:pPr>
                </w:p>
              </w:tc>
              <w:tc>
                <w:tcPr/>
                <w:p>
                  <w:pPr>
                    <w:pStyle w:val="Compact"/>
                    <w:jc w:val="left"/>
                    <w:jc w:val="center"/>
                  </w:pPr>
                  <w:r>
                    <w:t xml:space="preserve">-4.3</w:t>
                  </w:r>
                </w:p>
              </w:tc>
            </w:tr>
            <w:tr>
              <w:tc>
                <w:tcPr/>
                <w:p>
                  <w:pPr>
                    <w:pStyle w:val="Compact"/>
                  </w:pPr>
                </w:p>
              </w:tc>
              <w:tc>
                <w:tcPr/>
                <w:p>
                  <w:pPr>
                    <w:pStyle w:val="Compact"/>
                    <w:jc w:val="left"/>
                    <w:jc w:val="center"/>
                  </w:pPr>
                  <w:r>
                    <w:t xml:space="preserve">[2.1, 2.4]</w:t>
                  </w:r>
                </w:p>
              </w:tc>
              <w:tc>
                <w:tcPr/>
                <w:p>
                  <w:pPr>
                    <w:pStyle w:val="Compact"/>
                  </w:pPr>
                </w:p>
              </w:tc>
              <w:tc>
                <w:tcPr/>
                <w:p>
                  <w:pPr>
                    <w:pStyle w:val="Compact"/>
                    <w:jc w:val="left"/>
                    <w:jc w:val="center"/>
                  </w:pPr>
                  <w:r>
                    <w:t xml:space="preserve">[-0.305, -0.058]</w:t>
                  </w:r>
                </w:p>
              </w:tc>
              <w:tc>
                <w:tcPr/>
                <w:p>
                  <w:pPr>
                    <w:pStyle w:val="Compact"/>
                  </w:pPr>
                </w:p>
              </w:tc>
              <w:tc>
                <w:tcPr/>
                <w:p>
                  <w:pPr>
                    <w:pStyle w:val="Compact"/>
                    <w:jc w:val="left"/>
                    <w:jc w:val="center"/>
                  </w:pPr>
                  <w:r>
                    <w:t xml:space="preserve">[-4.5, -4.1]</w:t>
                  </w:r>
                </w:p>
              </w:tc>
            </w:tr>
            <w:tr>
              <w:tc>
                <w:tcPr/>
                <w:p>
                  <w:pPr>
                    <w:pStyle w:val="Compact"/>
                    <w:jc w:val="left"/>
                    <w:jc w:val="center"/>
                  </w:pPr>
                  <w:r>
                    <w:t xml:space="preserve">Cut 2</w:t>
                  </w:r>
                </w:p>
              </w:tc>
              <w:tc>
                <w:tcPr/>
                <w:p>
                  <w:pPr>
                    <w:pStyle w:val="Compact"/>
                    <w:jc w:val="left"/>
                    <w:jc w:val="center"/>
                  </w:pPr>
                  <w:r>
                    <w:t xml:space="preserve">2.9</w:t>
                  </w:r>
                </w:p>
              </w:tc>
              <w:tc>
                <w:tcPr/>
                <w:p>
                  <w:pPr>
                    <w:pStyle w:val="Compact"/>
                  </w:pPr>
                </w:p>
              </w:tc>
              <w:tc>
                <w:tcPr/>
                <w:p>
                  <w:pPr>
                    <w:pStyle w:val="Compact"/>
                    <w:jc w:val="left"/>
                    <w:jc w:val="center"/>
                  </w:pPr>
                  <w:r>
                    <w:t xml:space="preserve">0.91</w:t>
                  </w:r>
                </w:p>
              </w:tc>
              <w:tc>
                <w:tcPr/>
                <w:p>
                  <w:pPr>
                    <w:pStyle w:val="Compact"/>
                  </w:pPr>
                </w:p>
              </w:tc>
              <w:tc>
                <w:tcPr/>
                <w:p>
                  <w:pPr>
                    <w:pStyle w:val="Compact"/>
                    <w:jc w:val="left"/>
                    <w:jc w:val="center"/>
                  </w:pPr>
                  <w:r>
                    <w:t xml:space="preserve">-4.0</w:t>
                  </w:r>
                </w:p>
              </w:tc>
            </w:tr>
            <w:tr>
              <w:tc>
                <w:tcPr/>
                <w:p>
                  <w:pPr>
                    <w:pStyle w:val="Compact"/>
                  </w:pPr>
                </w:p>
              </w:tc>
              <w:tc>
                <w:tcPr/>
                <w:p>
                  <w:pPr>
                    <w:pStyle w:val="Compact"/>
                    <w:jc w:val="left"/>
                    <w:jc w:val="center"/>
                  </w:pPr>
                  <w:r>
                    <w:t xml:space="preserve">[2.8, 3.1]</w:t>
                  </w:r>
                </w:p>
              </w:tc>
              <w:tc>
                <w:tcPr/>
                <w:p>
                  <w:pPr>
                    <w:pStyle w:val="Compact"/>
                  </w:pPr>
                </w:p>
              </w:tc>
              <w:tc>
                <w:tcPr/>
                <w:p>
                  <w:pPr>
                    <w:pStyle w:val="Compact"/>
                    <w:jc w:val="left"/>
                    <w:jc w:val="center"/>
                  </w:pPr>
                  <w:r>
                    <w:t xml:space="preserve">[0.78, 1.04]</w:t>
                  </w:r>
                </w:p>
              </w:tc>
              <w:tc>
                <w:tcPr/>
                <w:p>
                  <w:pPr>
                    <w:pStyle w:val="Compact"/>
                  </w:pPr>
                </w:p>
              </w:tc>
              <w:tc>
                <w:tcPr/>
                <w:p>
                  <w:pPr>
                    <w:pStyle w:val="Compact"/>
                    <w:jc w:val="left"/>
                    <w:jc w:val="center"/>
                  </w:pPr>
                  <w:r>
                    <w:t xml:space="preserve">[-4.1, -3.8]</w:t>
                  </w:r>
                </w:p>
              </w:tc>
            </w:tr>
            <w:tr>
              <w:tc>
                <w:tcPr/>
                <w:p>
                  <w:pPr>
                    <w:pStyle w:val="Compact"/>
                    <w:jc w:val="left"/>
                    <w:jc w:val="center"/>
                  </w:pPr>
                  <w:r>
                    <w:t xml:space="preserve">Cut 3</w:t>
                  </w:r>
                </w:p>
              </w:tc>
              <w:tc>
                <w:tcPr/>
                <w:p>
                  <w:pPr>
                    <w:pStyle w:val="Compact"/>
                    <w:jc w:val="left"/>
                    <w:jc w:val="center"/>
                  </w:pPr>
                  <w:r>
                    <w:t xml:space="preserve">3.1</w:t>
                  </w:r>
                </w:p>
              </w:tc>
              <w:tc>
                <w:tcPr/>
                <w:p>
                  <w:pPr>
                    <w:pStyle w:val="Compact"/>
                  </w:pPr>
                </w:p>
              </w:tc>
              <w:tc>
                <w:tcPr/>
                <w:p>
                  <w:pPr>
                    <w:pStyle w:val="Compact"/>
                    <w:jc w:val="left"/>
                    <w:jc w:val="center"/>
                  </w:pPr>
                  <w:r>
                    <w:t xml:space="preserve">2.5</w:t>
                  </w:r>
                </w:p>
              </w:tc>
              <w:tc>
                <w:tcPr/>
                <w:p>
                  <w:pPr>
                    <w:pStyle w:val="Compact"/>
                  </w:pPr>
                </w:p>
              </w:tc>
              <w:tc>
                <w:tcPr/>
                <w:p>
                  <w:pPr>
                    <w:pStyle w:val="Compact"/>
                    <w:jc w:val="left"/>
                    <w:jc w:val="center"/>
                  </w:pPr>
                  <w:r>
                    <w:t xml:space="preserve">-3.7</w:t>
                  </w:r>
                </w:p>
              </w:tc>
            </w:tr>
            <w:tr>
              <w:tc>
                <w:tcPr/>
                <w:p>
                  <w:pPr>
                    <w:pStyle w:val="Compact"/>
                  </w:pPr>
                </w:p>
              </w:tc>
              <w:tc>
                <w:tcPr/>
                <w:p>
                  <w:pPr>
                    <w:pStyle w:val="Compact"/>
                    <w:jc w:val="left"/>
                    <w:jc w:val="center"/>
                  </w:pPr>
                  <w:r>
                    <w:t xml:space="preserve">[2.9, 3.3]</w:t>
                  </w:r>
                </w:p>
              </w:tc>
              <w:tc>
                <w:tcPr/>
                <w:p>
                  <w:pPr>
                    <w:pStyle w:val="Compact"/>
                  </w:pPr>
                </w:p>
              </w:tc>
              <w:tc>
                <w:tcPr/>
                <w:p>
                  <w:pPr>
                    <w:pStyle w:val="Compact"/>
                    <w:jc w:val="left"/>
                    <w:jc w:val="center"/>
                  </w:pPr>
                  <w:r>
                    <w:t xml:space="preserve">[2.3, 2.6]</w:t>
                  </w:r>
                </w:p>
              </w:tc>
              <w:tc>
                <w:tcPr/>
                <w:p>
                  <w:pPr>
                    <w:pStyle w:val="Compact"/>
                  </w:pPr>
                </w:p>
              </w:tc>
              <w:tc>
                <w:tcPr/>
                <w:p>
                  <w:pPr>
                    <w:pStyle w:val="Compact"/>
                    <w:jc w:val="left"/>
                    <w:jc w:val="center"/>
                  </w:pPr>
                  <w:r>
                    <w:t xml:space="preserve">[-3.9, -3.5]</w:t>
                  </w:r>
                </w:p>
              </w:tc>
            </w:tr>
            <w:tr>
              <w:tc>
                <w:tcPr/>
                <w:p>
                  <w:pPr>
                    <w:pStyle w:val="Compact"/>
                    <w:jc w:val="left"/>
                    <w:jc w:val="center"/>
                  </w:pPr>
                  <w:r>
                    <w:t xml:space="preserve">N</w:t>
                  </w:r>
                </w:p>
              </w:tc>
              <w:tc>
                <w:tcPr/>
                <w:p>
                  <w:pPr>
                    <w:pStyle w:val="Compact"/>
                    <w:jc w:val="left"/>
                    <w:jc w:val="center"/>
                  </w:pPr>
                  <w:r>
                    <w:t xml:space="preserve">9591</w:t>
                  </w:r>
                </w:p>
              </w:tc>
              <w:tc>
                <w:tcPr/>
                <w:p>
                  <w:pPr>
                    <w:pStyle w:val="Compact"/>
                    <w:jc w:val="left"/>
                    <w:jc w:val="center"/>
                  </w:pPr>
                  <w:r>
                    <w:t xml:space="preserve">9591</w:t>
                  </w:r>
                </w:p>
              </w:tc>
              <w:tc>
                <w:tcPr/>
                <w:p>
                  <w:pPr>
                    <w:pStyle w:val="Compact"/>
                    <w:jc w:val="left"/>
                    <w:jc w:val="center"/>
                  </w:pPr>
                  <w:r>
                    <w:t xml:space="preserve">9591</w:t>
                  </w:r>
                </w:p>
              </w:tc>
              <w:tc>
                <w:tcPr/>
                <w:p>
                  <w:pPr>
                    <w:pStyle w:val="Compact"/>
                    <w:jc w:val="left"/>
                    <w:jc w:val="center"/>
                  </w:pPr>
                  <w:r>
                    <w:t xml:space="preserve">9496</w:t>
                  </w:r>
                </w:p>
              </w:tc>
              <w:tc>
                <w:tcPr/>
                <w:p>
                  <w:pPr>
                    <w:pStyle w:val="Compact"/>
                    <w:jc w:val="left"/>
                    <w:jc w:val="center"/>
                  </w:pPr>
                  <w:r>
                    <w:t xml:space="preserve">9591</w:t>
                  </w:r>
                </w:p>
              </w:tc>
            </w:tr>
            <w:tr>
              <w:tc>
                <w:tcPr/>
                <w:p>
                  <w:pPr>
                    <w:pStyle w:val="Compact"/>
                  </w:pPr>
                </w:p>
              </w:tc>
              <w:tc>
                <w:tcPr/>
                <w:p>
                  <w:pPr>
                    <w:pStyle w:val="Compact"/>
                    <w:jc w:val="left"/>
                    <w:jc w:val="center"/>
                  </w:pPr>
                  <w:r>
                    <w:t xml:space="preserve">0.12</w:t>
                  </w:r>
                </w:p>
              </w:tc>
              <w:tc>
                <w:tcPr/>
                <w:p>
                  <w:pPr>
                    <w:pStyle w:val="Compact"/>
                    <w:jc w:val="left"/>
                    <w:jc w:val="center"/>
                  </w:pPr>
                  <w:r>
                    <w:t xml:space="preserve">0.16</w:t>
                  </w:r>
                </w:p>
              </w:tc>
              <w:tc>
                <w:tcPr/>
                <w:p>
                  <w:pPr>
                    <w:pStyle w:val="Compact"/>
                    <w:jc w:val="left"/>
                    <w:jc w:val="center"/>
                  </w:pPr>
                  <w:r>
                    <w:t xml:space="preserve">0.23</w:t>
                  </w:r>
                </w:p>
              </w:tc>
              <w:tc>
                <w:tcPr/>
                <w:p>
                  <w:pPr>
                    <w:pStyle w:val="Compact"/>
                    <w:jc w:val="left"/>
                    <w:jc w:val="center"/>
                  </w:pPr>
                  <w:r>
                    <w:t xml:space="preserve">0.02</w:t>
                  </w:r>
                </w:p>
              </w:tc>
              <w:tc>
                <w:tcPr/>
                <w:p>
                  <w:pPr>
                    <w:pStyle w:val="Compact"/>
                    <w:jc w:val="left"/>
                    <w:jc w:val="center"/>
                  </w:pPr>
                  <w:r>
                    <w:t xml:space="preserve">0.42</w:t>
                  </w:r>
                </w:p>
              </w:tc>
            </w:tr>
            <w:tr>
              <w:tc>
                <w:tcPr>
                  <w:gridSpan w:val="6"/>
                </w:tcPr>
                <w:p>
                  <w:pPr>
                    <w:pStyle w:val="Compact"/>
                    <w:jc w:val="left"/>
                    <w:jc w:val="center"/>
                  </w:pPr>
                  <w:r>
                    <w:t xml:space="preserve">Note: Estimates are median posterior log odds from logistic and ordered logistic regression models; 95% credible intervals (highest density posterior</w:t>
                  </w:r>
                  <w:r>
                    <w:t xml:space="preserve"> </w:t>
                  </w:r>
                  <w:r>
                    <w:t xml:space="preserve">interval, or HDPI) in brackets.</w:t>
                  </w:r>
                </w:p>
              </w:tc>
            </w:tr>
          </w:tbl>
          <w:bookmarkEnd w:id="40"/>
          <w:p/>
        </w:tc>
      </w:tr>
    </w:tbl>
    <w:bookmarkEnd w:id="41"/>
    <w:bookmarkEnd w:id="42"/>
    <w:bookmarkEnd w:id="43"/>
    <w:bookmarkStart w:id="53" w:name="X4c1a8c0bf9d2e837687c13472b055537d42508b"/>
    <w:p>
      <w:pPr>
        <w:pStyle w:val="Heading1"/>
      </w:pPr>
      <w:r>
        <w:t xml:space="preserve">Comparing COVID-19 derogations with other treaty actions</w:t>
      </w:r>
    </w:p>
    <w:p>
      <w:pPr>
        <w:pStyle w:val="FirstParagraph"/>
      </w:pPr>
      <w:hyperlink w:anchor="appfig-treaty-action-state-type">
        <w:r>
          <w:rPr>
            <w:rStyle w:val="Hyperlink"/>
          </w:rPr>
          <w:t xml:space="preserve">Figure A2</w:t>
        </w:r>
      </w:hyperlink>
      <w:r>
        <w:t xml:space="preserve"> </w:t>
      </w:r>
      <w:r>
        <w:t xml:space="preserve">(also Figure 4 in the text of the paper) plots treaty actions by state and compares counts of derogations against other types of treaty actions. There were 42 states that issued any kind of human rights treaty action during this period. Twenty-one issued only derogations. The</w:t>
      </w:r>
      <w:r>
        <w:t xml:space="preserve"> </w:t>
      </w:r>
      <w:r>
        <w:t xml:space="preserve">“</w:t>
      </w:r>
      <w:r>
        <w:t xml:space="preserve">super derogating states</w:t>
      </w:r>
      <w:r>
        <w:t xml:space="preserve">”</w:t>
      </w:r>
      <w:r>
        <w:t xml:space="preserve"> </w:t>
      </w:r>
      <w:r>
        <w:t xml:space="preserve">that issued multiple derogations during this period also did not issue other types of treaty actions. For example, Peru issued 18 derogations and Guatemala 13, but neither of these states issued any other type of human rights treaty action during this period. Similarly, there were states that never issued derogations during this period but issued other types of human rights treaty actions. For example, the United Kingdom issued six, Oman issued three, and the Netherlands issued two other treaty actions.</w:t>
      </w:r>
    </w:p>
    <w:tbl>
      <w:tblPr>
        <w:tblStyle w:val="Table"/>
        <w:tblW w:type="pct" w:w="5000"/>
        <w:tblLayout w:type="fixed"/>
        <w:tblLook w:firstRow="0" w:lastRow="0" w:firstColumn="0" w:lastColumn="0" w:noHBand="0" w:noVBand="0" w:val="0000"/>
      </w:tblPr>
      <w:tblGrid>
        <w:gridCol w:w="7920"/>
      </w:tblGrid>
      <w:tr>
        <w:tc>
          <w:tcPr/>
          <w:bookmarkStart w:id="47" w:name="appfig-treaty-action-state-type"/>
          <w:p>
            <w:pPr>
              <w:jc w:val="center"/>
            </w:pPr>
            <w:r>
              <w:drawing>
                <wp:inline>
                  <wp:extent cx="5943600" cy="3657600"/>
                  <wp:effectExtent b="0" l="0" r="0" t="0"/>
                  <wp:docPr descr="" title="" id="45" name="Picture"/>
                  <a:graphic>
                    <a:graphicData uri="http://schemas.openxmlformats.org/drawingml/2006/picture">
                      <pic:pic>
                        <pic:nvPicPr>
                          <pic:cNvPr descr="appendix_files/figure-docx/figure-treaty-action-state-type-1.png" id="46" name="Picture"/>
                          <pic:cNvPicPr>
                            <a:picLocks noChangeArrowheads="1" noChangeAspect="1"/>
                          </pic:cNvPicPr>
                        </pic:nvPicPr>
                        <pic:blipFill>
                          <a:blip r:embed="rId44"/>
                          <a:stretch>
                            <a:fillRect/>
                          </a:stretch>
                        </pic:blipFill>
                        <pic:spPr bwMode="auto">
                          <a:xfrm>
                            <a:off x="0" y="0"/>
                            <a:ext cx="5943600" cy="36576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A2: Counts of human rights treaty actions from March 2020–June 2021</w:t>
            </w:r>
          </w:p>
          <w:bookmarkEnd w:id="47"/>
        </w:tc>
      </w:tr>
    </w:tbl>
    <w:p>
      <w:pPr>
        <w:pStyle w:val="BodyText"/>
      </w:pPr>
      <w:r>
        <w:t xml:space="preserve">During this time, states issued treaty actions towards eight treaties and seven Optional Protocols, as shown in</w:t>
      </w:r>
      <w:r>
        <w:t xml:space="preserve"> </w:t>
      </w:r>
      <w:hyperlink w:anchor="apptbl-treaty-action-treaty">
        <w:r>
          <w:rPr>
            <w:rStyle w:val="Hyperlink"/>
          </w:rPr>
          <w:t xml:space="preserve">Table A5</w:t>
        </w:r>
      </w:hyperlink>
      <w:r>
        <w:t xml:space="preserve">. Derogations to the ICCPR constituted the clear majority of United Nations human rights treaty engagement, comprising 111 of the 150 treaty actions. The remaining actions are depicted in</w:t>
      </w:r>
      <w:r>
        <w:t xml:space="preserve"> </w:t>
      </w:r>
      <w:hyperlink w:anchor="appfig-treaty-non-derog">
        <w:r>
          <w:rPr>
            <w:rStyle w:val="Hyperlink"/>
          </w:rPr>
          <w:t xml:space="preserve">Figure A3</w:t>
        </w:r>
      </w:hyperlink>
      <w:r>
        <w:t xml:space="preserve">. The other actions were commitment actions (11 Ratifications; 7 Accessions; and 3 Signatures) and post-commitment actions (11 Objections; 4 Territorial Applications; and 2 Declarations). Of these actions, the Territorial Applications were similar to derogations in that they remove obligations from states to comply with elements of human rights treaties. Rather than highlighting specific articles and time dimensions of limited obligation like in derogations, territorial applications are geographic-based considerations of state obligation</w:t>
      </w:r>
      <w:r>
        <w:t xml:space="preserve"> </w:t>
      </w:r>
      <w:r>
        <w:t xml:space="preserve">(</w:t>
      </w:r>
      <w:hyperlink w:anchor="ref-Comstock:2019">
        <w:r>
          <w:rPr>
            <w:rStyle w:val="Hyperlink"/>
          </w:rPr>
          <w:t xml:space="preserve">Comstock, 2019</w:t>
        </w:r>
      </w:hyperlink>
      <w:r>
        <w:t xml:space="preserve">)</w:t>
      </w:r>
      <w:r>
        <w:t xml:space="preserve">. Territorial applications can remove or extend state obligations. The four territorial applications under consideration here were all issued by the United Kingdom and all extended state obligations of treaty ratification obligation to Bailiwick of Jersey, Guernsey, and Alderney, all island dependencies of the British Crown.</w:t>
      </w:r>
    </w:p>
    <w:tbl>
      <w:tblPr>
        <w:tblStyle w:val="Table"/>
        <w:tblW w:type="pct" w:w="5000"/>
        <w:tblLayout w:type="fixed"/>
        <w:tblLook w:firstRow="0" w:lastRow="0" w:firstColumn="0" w:lastColumn="0" w:noHBand="0" w:noVBand="0" w:val="0000"/>
      </w:tblPr>
      <w:tblGrid>
        <w:gridCol w:w="7920"/>
      </w:tblGrid>
      <w:tr>
        <w:tc>
          <w:tcPr/>
          <w:bookmarkStart w:id="48" w:name="apptbl-treaty-action-treaty"/>
          <w:p>
            <w:pPr>
              <w:jc w:val="center"/>
            </w:pPr>
            <w:pPr>
              <w:jc w:val="start"/>
              <w:spacing w:before="200"/>
              <w:pStyle w:val="ImageCaption"/>
            </w:pPr>
            <w:r>
              <w:t xml:space="preserve">Table A5: Treaty actions issued from March 2020–June 2021, by treaty</w:t>
            </w:r>
          </w:p>
          <w:tbl>
            <w:tblPr>
              <w:tblStyle w:val="Table"/>
              <w:tblW w:type="pct" w:w="5000"/>
              <w:tblLayout w:type="fixed"/>
              <w:tblLook w:firstRow="1" w:lastRow="0" w:firstColumn="0" w:lastColumn="0" w:noHBand="0" w:noVBand="0" w:val="0020"/>
            </w:tblPr>
            <w:tblGrid>
              <w:gridCol w:w="747"/>
              <w:gridCol w:w="7172"/>
            </w:tblGrid>
            <w:tr>
              <w:trPr>
                <w:tblHeader w:val="on"/>
              </w:trPr>
              <w:tc>
                <w:tcPr/>
                <w:p>
                  <w:pPr>
                    <w:pStyle w:val="Compact"/>
                    <w:jc w:val="left"/>
                    <w:jc w:val="center"/>
                  </w:pPr>
                  <w:r>
                    <w:t xml:space="preserve">Number of Actions</w:t>
                  </w:r>
                </w:p>
              </w:tc>
              <w:tc>
                <w:tcPr/>
                <w:p>
                  <w:pPr>
                    <w:pStyle w:val="Compact"/>
                    <w:jc w:val="left"/>
                    <w:jc w:val="center"/>
                  </w:pPr>
                  <w:r>
                    <w:t xml:space="preserve">Treaties</w:t>
                  </w:r>
                </w:p>
              </w:tc>
            </w:tr>
            <w:tr>
              <w:tc>
                <w:tcPr/>
                <w:p>
                  <w:pPr>
                    <w:pStyle w:val="Compact"/>
                    <w:jc w:val="left"/>
                    <w:jc w:val="center"/>
                  </w:pPr>
                  <w:r>
                    <w:t xml:space="preserve">111</w:t>
                  </w:r>
                </w:p>
              </w:tc>
              <w:tc>
                <w:tcPr/>
                <w:p>
                  <w:pPr>
                    <w:pStyle w:val="Compact"/>
                    <w:jc w:val="left"/>
                    <w:jc w:val="center"/>
                  </w:pPr>
                  <w:r>
                    <w:t xml:space="preserve">ICCPR</w:t>
                  </w:r>
                </w:p>
              </w:tc>
            </w:tr>
            <w:tr>
              <w:tc>
                <w:tcPr/>
                <w:p>
                  <w:pPr>
                    <w:pStyle w:val="Compact"/>
                    <w:jc w:val="left"/>
                    <w:jc w:val="center"/>
                  </w:pPr>
                  <w:r>
                    <w:t xml:space="preserve">8</w:t>
                  </w:r>
                </w:p>
              </w:tc>
              <w:tc>
                <w:tcPr/>
                <w:p>
                  <w:pPr>
                    <w:pStyle w:val="Compact"/>
                    <w:jc w:val="left"/>
                    <w:jc w:val="center"/>
                  </w:pPr>
                  <w:r>
                    <w:t xml:space="preserve">CED</w:t>
                  </w:r>
                </w:p>
              </w:tc>
            </w:tr>
            <w:tr>
              <w:tc>
                <w:tcPr/>
                <w:p>
                  <w:pPr>
                    <w:pStyle w:val="Compact"/>
                    <w:jc w:val="left"/>
                    <w:jc w:val="center"/>
                  </w:pPr>
                  <w:r>
                    <w:t xml:space="preserve">7</w:t>
                  </w:r>
                </w:p>
              </w:tc>
              <w:tc>
                <w:tcPr/>
                <w:p>
                  <w:pPr>
                    <w:pStyle w:val="Compact"/>
                    <w:jc w:val="left"/>
                    <w:jc w:val="center"/>
                  </w:pPr>
                  <w:r>
                    <w:t xml:space="preserve">UN CRC Optional Protocol on the Involvement of Children in Conflict</w:t>
                  </w:r>
                </w:p>
              </w:tc>
            </w:tr>
            <w:tr>
              <w:tc>
                <w:tcPr/>
                <w:p>
                  <w:pPr>
                    <w:pStyle w:val="Compact"/>
                    <w:jc w:val="left"/>
                    <w:jc w:val="center"/>
                  </w:pPr>
                  <w:r>
                    <w:t xml:space="preserve">3</w:t>
                  </w:r>
                </w:p>
              </w:tc>
              <w:tc>
                <w:tcPr/>
                <w:p>
                  <w:pPr>
                    <w:pStyle w:val="Compact"/>
                    <w:jc w:val="left"/>
                    <w:jc w:val="center"/>
                  </w:pPr>
                  <w:r>
                    <w:t xml:space="preserve">CRPD OP; ICESCR OP</w:t>
                  </w:r>
                </w:p>
              </w:tc>
            </w:tr>
            <w:tr>
              <w:tc>
                <w:tcPr/>
                <w:p>
                  <w:pPr>
                    <w:pStyle w:val="Compact"/>
                    <w:jc w:val="left"/>
                    <w:jc w:val="center"/>
                  </w:pPr>
                  <w:r>
                    <w:t xml:space="preserve">2</w:t>
                  </w:r>
                </w:p>
              </w:tc>
              <w:tc>
                <w:tcPr/>
                <w:p>
                  <w:pPr>
                    <w:pStyle w:val="Compact"/>
                    <w:jc w:val="left"/>
                    <w:jc w:val="center"/>
                  </w:pPr>
                  <w:r>
                    <w:t xml:space="preserve">CAT; CRPD; ICCPR OP Abolition of Death Penalty; UN CRC Optional Protocol on the Sale of Chldren, Child Pornography, and Child Prostitution; UN CRC Optional Protocol Communications Procedure</w:t>
                  </w:r>
                </w:p>
              </w:tc>
            </w:tr>
            <w:tr>
              <w:tc>
                <w:tcPr/>
                <w:p>
                  <w:pPr>
                    <w:pStyle w:val="Compact"/>
                    <w:jc w:val="left"/>
                    <w:jc w:val="center"/>
                  </w:pPr>
                  <w:r>
                    <w:t xml:space="preserve">1</w:t>
                  </w:r>
                </w:p>
              </w:tc>
              <w:tc>
                <w:tcPr/>
                <w:p>
                  <w:pPr>
                    <w:pStyle w:val="Compact"/>
                    <w:jc w:val="left"/>
                    <w:jc w:val="center"/>
                  </w:pPr>
                  <w:r>
                    <w:t xml:space="preserve">CEDAW; CEDAW Amendment; CEDAW OP; CMW; Convention on the Non-Applicability of Statutory Limitations to War Crimes and Crimes Against Humanity; ICESCR; UN CRC</w:t>
                  </w:r>
                </w:p>
              </w:tc>
            </w:tr>
          </w:tbl>
          <w:bookmarkEnd w:id="48"/>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52" w:name="appfig-treaty-non-derog"/>
          <w:p>
            <w:pPr>
              <w:jc w:val="center"/>
            </w:pPr>
            <w:r>
              <w:drawing>
                <wp:inline>
                  <wp:extent cx="5943600" cy="2057399"/>
                  <wp:effectExtent b="0" l="0" r="0" t="0"/>
                  <wp:docPr descr="" title="" id="50" name="Picture"/>
                  <a:graphic>
                    <a:graphicData uri="http://schemas.openxmlformats.org/drawingml/2006/picture">
                      <pic:pic>
                        <pic:nvPicPr>
                          <pic:cNvPr descr="appendix_files/figure-docx/figure-treaty-non-derog-1.png" id="51" name="Picture"/>
                          <pic:cNvPicPr>
                            <a:picLocks noChangeArrowheads="1" noChangeAspect="1"/>
                          </pic:cNvPicPr>
                        </pic:nvPicPr>
                        <pic:blipFill>
                          <a:blip r:embed="rId49"/>
                          <a:stretch>
                            <a:fillRect/>
                          </a:stretch>
                        </pic:blipFill>
                        <pic:spPr bwMode="auto">
                          <a:xfrm>
                            <a:off x="0" y="0"/>
                            <a:ext cx="5943600" cy="2057399"/>
                          </a:xfrm>
                          <a:prstGeom prst="rect">
                            <a:avLst/>
                          </a:prstGeom>
                          <a:noFill/>
                          <a:ln w="9525">
                            <a:noFill/>
                            <a:headEnd/>
                            <a:tailEnd/>
                          </a:ln>
                        </pic:spPr>
                      </pic:pic>
                    </a:graphicData>
                  </a:graphic>
                </wp:inline>
              </w:drawing>
            </w:r>
          </w:p>
          <w:p>
            <w:pPr>
              <w:jc w:val="center"/>
            </w:pPr>
            <w:pPr>
              <w:jc w:val="start"/>
              <w:spacing w:before="200"/>
              <w:pStyle w:val="ImageCaption"/>
            </w:pPr>
            <w:r>
              <w:t xml:space="preserve">Figure A3: Non-derogation actions filed from March 2020–June 2021</w:t>
            </w:r>
          </w:p>
          <w:bookmarkEnd w:id="52"/>
        </w:tc>
      </w:tr>
    </w:tbl>
    <w:bookmarkEnd w:id="53"/>
    <w:bookmarkStart w:id="58" w:name="case-study-details"/>
    <w:p>
      <w:pPr>
        <w:pStyle w:val="Heading1"/>
      </w:pPr>
      <w:r>
        <w:t xml:space="preserve">Case study details</w:t>
      </w:r>
    </w:p>
    <w:p>
      <w:pPr>
        <w:pStyle w:val="FirstParagraph"/>
      </w:pPr>
      <w:r>
        <w:t xml:space="preserve">All of the states that experienced high risk of democratic backsliding and issued derogations were from the Central American or South America regions. The states that issued derogations but did not experience a high risk of democratic backsliding were from a mix of regions including South America, Central America, Asia, Eastern Europe, and Africa. In addition to the ICCPR, states also derogated from regional human rights treaties—the American Convention on Human Rights (ACHR) and the European Convention on Human Rights (ECHR)</w:t>
      </w:r>
      <w:r>
        <w:t xml:space="preserve"> </w:t>
      </w:r>
      <w:r>
        <w:t xml:space="preserve">(</w:t>
      </w:r>
      <w:hyperlink w:anchor="ref-IstrefiHumburg:2020">
        <w:r>
          <w:rPr>
            <w:rStyle w:val="Hyperlink"/>
          </w:rPr>
          <w:t xml:space="preserve">Istrefi &amp; Humburg, 2020</w:t>
        </w:r>
      </w:hyperlink>
      <w:r>
        <w:t xml:space="preserve">)</w:t>
      </w:r>
      <w:r>
        <w:t xml:space="preserve">. Therefore, the mini-cases below examine derogations to the ICCPR, as well as the ACHR and ECHR, where applicable.</w:t>
      </w:r>
    </w:p>
    <w:bookmarkStart w:id="54" w:name="X73cf53bad6753cdc69f3303c54fbef614ad245a"/>
    <w:p>
      <w:pPr>
        <w:pStyle w:val="Heading2"/>
      </w:pPr>
      <w:r>
        <w:t xml:space="preserve">High risk of backsliding, Derogations present: Guatemala</w:t>
      </w:r>
    </w:p>
    <w:p>
      <w:pPr>
        <w:pStyle w:val="FirstParagraph"/>
      </w:pPr>
      <w:r>
        <w:t xml:space="preserve">On March 9, 2020, Guatemala became the first state to formally derogate from Articles 12 and 21 of the ICCPR, both of which concern the freedoms of movement, association, assembly and demonstration</w:t>
      </w:r>
      <w:r>
        <w:t xml:space="preserve"> </w:t>
      </w:r>
      <w:r>
        <w:t xml:space="preserve">(</w:t>
      </w:r>
      <w:hyperlink w:anchor="ref-PeacefulAssemblyWorldwide:2021">
        <w:r>
          <w:rPr>
            <w:rStyle w:val="Hyperlink"/>
          </w:rPr>
          <w:t xml:space="preserve">Peaceful Assembly Worldwide, 2021</w:t>
        </w:r>
      </w:hyperlink>
      <w:r>
        <w:t xml:space="preserve">)</w:t>
      </w:r>
      <w:r>
        <w:t xml:space="preserve">. Guatemala also sent official notification of derogation to the Organization of American States (OAS) on March 23, 2020, stating the government’s intention to derogate from Articles 15 and 22 of the ACHR</w:t>
      </w:r>
      <w:r>
        <w:t xml:space="preserve"> </w:t>
      </w:r>
      <w:r>
        <w:t xml:space="preserve">(</w:t>
      </w:r>
      <w:hyperlink w:anchor="X5dbfbee7e6b4775b5a8dc90312c9e0b8a505b2a">
        <w:r>
          <w:rPr>
            <w:rStyle w:val="Hyperlink"/>
          </w:rPr>
          <w:t xml:space="preserve">Ministerio de Relaciones Exteriores de Guatemala, 2020</w:t>
        </w:r>
      </w:hyperlink>
      <w:r>
        <w:t xml:space="preserve">)</w:t>
      </w:r>
      <w:r>
        <w:t xml:space="preserve">. Article 15 guarantees the right of peaceful assembly, while Article 22 protects the freedom of movement and residence. Counter to trends in many countries across the globe, Guatemala notified the ICCPR before it sent notifications of derogation to the OAS, demonstrating a clear commitment to the treaties and international law. In addition, from the 10 states that derogated from the ACHR, only 4, including Guatemala filed notification of derogations from the ICCPR</w:t>
      </w:r>
      <w:r>
        <w:t xml:space="preserve"> </w:t>
      </w:r>
      <w:r>
        <w:t xml:space="preserve">(</w:t>
      </w:r>
      <w:hyperlink w:anchor="ref-IstrefiHumburg:2020">
        <w:r>
          <w:rPr>
            <w:rStyle w:val="Hyperlink"/>
          </w:rPr>
          <w:t xml:space="preserve">Istrefi &amp; Humburg, 2020</w:t>
        </w:r>
      </w:hyperlink>
      <w:r>
        <w:t xml:space="preserve">)</w:t>
      </w:r>
      <w:r>
        <w:t xml:space="preserve">.</w:t>
      </w:r>
    </w:p>
    <w:p>
      <w:pPr>
        <w:pStyle w:val="BodyText"/>
      </w:pPr>
      <w:r>
        <w:t xml:space="preserve">President Alejandro Giammattei was sworn in as President of Guatemala shortly before the pandemic. Prior democratic governments failed to meet their mandate—in 2019, more than half of the population lived below the poverty line</w:t>
      </w:r>
      <w:r>
        <w:t xml:space="preserve"> </w:t>
      </w:r>
      <w:r>
        <w:t xml:space="preserve">(</w:t>
      </w:r>
      <w:hyperlink w:anchor="ref-FreemanPerello:2023">
        <w:r>
          <w:rPr>
            <w:rStyle w:val="Hyperlink"/>
          </w:rPr>
          <w:t xml:space="preserve">Freeman &amp; Perelló, 2023</w:t>
        </w:r>
      </w:hyperlink>
      <w:r>
        <w:t xml:space="preserve">)</w:t>
      </w:r>
      <w:r>
        <w:t xml:space="preserve">. Corruption was another big concern—in January 2020, Transparency International ranked Guatemala as the fourth most corrupt country in the world. Holding office was often seen as lucrative not just for politicians but also for those financing these leaders</w:t>
      </w:r>
      <w:r>
        <w:t xml:space="preserve"> </w:t>
      </w:r>
      <w:r>
        <w:t xml:space="preserve">(</w:t>
      </w:r>
      <w:hyperlink w:anchor="ref-FreemanPerello:2023">
        <w:r>
          <w:rPr>
            <w:rStyle w:val="Hyperlink"/>
          </w:rPr>
          <w:t xml:space="preserve">Freeman &amp; Perelló, 2023</w:t>
        </w:r>
      </w:hyperlink>
      <w:r>
        <w:t xml:space="preserve">)</w:t>
      </w:r>
      <w:r>
        <w:t xml:space="preserve">. Thus, while many domestic and international observers were concerned about backsliding during his government, the pandemic also exacerbated fears about the relationship between transparency and corruption.</w:t>
      </w:r>
    </w:p>
    <w:p>
      <w:pPr>
        <w:pStyle w:val="BodyText"/>
      </w:pPr>
      <w:r>
        <w:t xml:space="preserve">During the pandemic, Guatemala maintained a low rate of contagion compared with many other Latin American countries—which the government used to bolster its popularity. The OHCHR even praised the work done by the Office of Indigenous Women and the Ministry of Education for increasing support for indigenous children’s participation in primary education. Between 2020–2023, there was a 7% increase in enrollment (49% of which was among girls); moreover, the dropout rates decreased by 4% counter to global trends during the pandemic</w:t>
      </w:r>
      <w:r>
        <w:t xml:space="preserve"> </w:t>
      </w:r>
      <w:r>
        <w:t xml:space="preserve">(</w:t>
      </w:r>
      <w:hyperlink w:anchor="ref-OHCHR:2023">
        <w:r>
          <w:rPr>
            <w:rStyle w:val="Hyperlink"/>
          </w:rPr>
          <w:t xml:space="preserve">OHCHR, 2023</w:t>
        </w:r>
      </w:hyperlink>
      <w:r>
        <w:t xml:space="preserve">)</w:t>
      </w:r>
      <w:r>
        <w:t xml:space="preserve">. In January 2021, the Guatemalan government requested derogations from two additional articles of the ACHR (Articles 13 and 16), and extensions to their previous derogations from Articles 15 and 22. Article 16 of the ACHR—like Article 21 of the ICCPR—protects the freedom of association, while Article 13 protects the freedom of thought and expression. Guatemala’s derogation from articles regarding freedom of thought and expression has been seen by some as a concerning attempt to silence media criticisms of the government’s handling of the pandemic</w:t>
      </w:r>
      <w:r>
        <w:t xml:space="preserve"> </w:t>
      </w:r>
      <w:r>
        <w:t xml:space="preserve">(</w:t>
      </w:r>
      <w:hyperlink w:anchor="X71856af7a06ee40a919d3ee3e124615baae6b14">
        <w:r>
          <w:rPr>
            <w:rStyle w:val="Hyperlink"/>
          </w:rPr>
          <w:t xml:space="preserve">The Global State of Democracy Initiative, 2021</w:t>
        </w:r>
      </w:hyperlink>
      <w:r>
        <w:t xml:space="preserve">)</w:t>
      </w:r>
      <w:r>
        <w:t xml:space="preserve">. Human Rights Watch accused the administration of hindering journalists’ access to public information</w:t>
      </w:r>
      <w:r>
        <w:t xml:space="preserve"> </w:t>
      </w:r>
      <w:r>
        <w:t xml:space="preserve">(</w:t>
      </w:r>
      <w:hyperlink w:anchor="ref-Mercadal:2024">
        <w:r>
          <w:rPr>
            <w:rStyle w:val="Hyperlink"/>
          </w:rPr>
          <w:t xml:space="preserve">Mercadal, 2024</w:t>
        </w:r>
      </w:hyperlink>
      <w:r>
        <w:t xml:space="preserve">)</w:t>
      </w:r>
      <w:r>
        <w:t xml:space="preserve">. This limited transparency also raised concerns about media freedom—though the government itself has not targeted any journalists, the media was shut out of various congressional sessions, making it unable to report accurately on the pandemic. Overall, though there were still causes for concern, Guatemala’s derogations seemed to be lawful and generally proportionate, and the government engaged in fewer rights violations than expected. The Central American nation was quick to communicate its intentions to its treaty organizations, and in this case, the government’s desire to communicate its intentions and maintain transparency may have provided a check on the rate of backsliding.</w:t>
      </w:r>
    </w:p>
    <w:p>
      <w:pPr>
        <w:pStyle w:val="BodyText"/>
      </w:pPr>
      <w:r>
        <w:t xml:space="preserve">However, corruption was considered to be the main reason undermining efforts to fight the pandemic. Scholars noted that corruption during the pandemic</w:t>
      </w:r>
      <w:r>
        <w:t xml:space="preserve"> </w:t>
      </w:r>
      <w:r>
        <w:t xml:space="preserve">“</w:t>
      </w:r>
      <w:r>
        <w:t xml:space="preserve">contributed to a regression of democracy</w:t>
      </w:r>
      <w:r>
        <w:t xml:space="preserve">”</w:t>
      </w:r>
      <w:r>
        <w:t xml:space="preserve"> </w:t>
      </w:r>
      <w:r>
        <w:t xml:space="preserve">(</w:t>
      </w:r>
      <w:hyperlink w:anchor="ref-Mercadal:2024">
        <w:r>
          <w:rPr>
            <w:rStyle w:val="Hyperlink"/>
          </w:rPr>
          <w:t xml:space="preserve">Mercadal, 2024, p. 225</w:t>
        </w:r>
      </w:hyperlink>
      <w:r>
        <w:t xml:space="preserve">)</w:t>
      </w:r>
      <w:r>
        <w:t xml:space="preserve">. Concerns about democratic backsliding ultimately did not fully materialize—in August 2023, Bernardo Arévalo, a centrist anti-corruption reformer, won Guatemala’s presidential runoff by a wide margin after an electoral process that nearly saw Arévalo’s party barred from competing.</w:t>
      </w:r>
    </w:p>
    <w:bookmarkEnd w:id="54"/>
    <w:bookmarkStart w:id="55" w:name="X11024b3589cccc70494e4eda50b66dbe6adf997"/>
    <w:p>
      <w:pPr>
        <w:pStyle w:val="Heading2"/>
      </w:pPr>
      <w:r>
        <w:t xml:space="preserve">High risk of backsliding, no derogation: India</w:t>
      </w:r>
    </w:p>
    <w:p>
      <w:pPr>
        <w:pStyle w:val="FirstParagraph"/>
      </w:pPr>
      <w:r>
        <w:t xml:space="preserve">To illustrate the interaction of a high risk of democratic backsliding and the lack of derogations during the pandemic, we look at the case of India. According to Article 352 of India’s constitution, India is only allowed to declare a state of emergency when its territory is threatened</w:t>
      </w:r>
      <w:r>
        <w:t xml:space="preserve"> </w:t>
      </w:r>
      <w:r>
        <w:t xml:space="preserve">“</w:t>
      </w:r>
      <w:r>
        <w:t xml:space="preserve">by war or external aggression or armed rebellion</w:t>
      </w:r>
      <w:r>
        <w:t xml:space="preserve">”</w:t>
      </w:r>
      <w:r>
        <w:t xml:space="preserve"> </w:t>
      </w:r>
      <w:r>
        <w:t xml:space="preserve">(</w:t>
      </w:r>
      <w:hyperlink w:anchor="ref-const-india-352">
        <w:r>
          <w:rPr>
            <w:rStyle w:val="Hyperlink"/>
          </w:rPr>
          <w:t xml:space="preserve">Constitution of India, n.d.</w:t>
        </w:r>
      </w:hyperlink>
      <w:r>
        <w:t xml:space="preserve">)</w:t>
      </w:r>
      <w:r>
        <w:t xml:space="preserve">—not in the case of public health crises. Despite having an extremely deadly Delta wave of Covid-19 cases during the pandemic and the implementation of multiple measures to protect a sixth of the world’s population, India did not derogate from any treaties. Without derogations, there is an absence of sunset clauses that typically ensure that there is an end to the measures a country implements during an emergency. Thus, many measures disregarded ICCPR provisions that should have been protected even in a state of emergency.</w:t>
      </w:r>
    </w:p>
    <w:p>
      <w:pPr>
        <w:pStyle w:val="BodyText"/>
      </w:pPr>
      <w:r>
        <w:t xml:space="preserve">When India went into lockdown in March 2020, the government only provided a four-hour notice—this violated ICCPR Article 19, the right to seek and receive information, including early warnings of national measures like the lockdown. Further, the CESCR General Comment No. 14 says that</w:t>
      </w:r>
      <w:r>
        <w:t xml:space="preserve"> </w:t>
      </w:r>
      <w:r>
        <w:t xml:space="preserve">“</w:t>
      </w:r>
      <w:r>
        <w:t xml:space="preserve">access to information concerning the main health problems in the community, including methods of preventing and controlling them</w:t>
      </w:r>
      <w:r>
        <w:t xml:space="preserve">”</w:t>
      </w:r>
      <w:r>
        <w:t xml:space="preserve"> </w:t>
      </w:r>
      <w:r>
        <w:t xml:space="preserve">is also a guaranteed right</w:t>
      </w:r>
      <w:r>
        <w:t xml:space="preserve"> </w:t>
      </w:r>
      <w:r>
        <w:t xml:space="preserve">(</w:t>
      </w:r>
      <w:hyperlink w:anchor="ref-AmnestyInternational:2020">
        <w:r>
          <w:rPr>
            <w:rStyle w:val="Hyperlink"/>
          </w:rPr>
          <w:t xml:space="preserve">Amnesty International, 2020</w:t>
        </w:r>
      </w:hyperlink>
      <w:r>
        <w:t xml:space="preserve">)</w:t>
      </w:r>
      <w:r>
        <w:t xml:space="preserve">. The lack of notice stranded a large number of migrant workers in cities, far from their homes in rural areas, with no transportation. Many of these workers died while trying to walk hundreds of miles back to their villages</w:t>
      </w:r>
      <w:r>
        <w:t xml:space="preserve"> </w:t>
      </w:r>
      <w:r>
        <w:t xml:space="preserve">(</w:t>
      </w:r>
      <w:hyperlink w:anchor="ref-ChaudhryPrasad:2020">
        <w:r>
          <w:rPr>
            <w:rStyle w:val="Hyperlink"/>
          </w:rPr>
          <w:t xml:space="preserve">Chaudhry &amp; Prasad, 2020</w:t>
        </w:r>
      </w:hyperlink>
      <w:r>
        <w:t xml:space="preserve">)</w:t>
      </w:r>
      <w:r>
        <w:t xml:space="preserve">.</w:t>
      </w:r>
    </w:p>
    <w:p>
      <w:pPr>
        <w:pStyle w:val="BodyText"/>
      </w:pPr>
      <w:r>
        <w:t xml:space="preserve">As the pandemic progressed, the Bharatiya Janata Party (BJP)-led government used the pandemic measures to hasten backsliding. The government paid little heed to technical and scientific advice</w:t>
      </w:r>
      <w:r>
        <w:t xml:space="preserve"> </w:t>
      </w:r>
      <w:r>
        <w:t xml:space="preserve">(</w:t>
      </w:r>
      <w:hyperlink w:anchor="ref-Mukherji:2020">
        <w:r>
          <w:rPr>
            <w:rStyle w:val="Hyperlink"/>
          </w:rPr>
          <w:t xml:space="preserve">Mukherji, 2020</w:t>
        </w:r>
      </w:hyperlink>
      <w:r>
        <w:t xml:space="preserve">)</w:t>
      </w:r>
      <w:r>
        <w:t xml:space="preserve">. Instead, the BJP government used its institutional power to shut down dissent, especially from media, civil society, and lawyers. For instance, many measures disproportionately impacted journalists’ ability to work</w:t>
      </w:r>
      <w:r>
        <w:t xml:space="preserve"> </w:t>
      </w:r>
      <w:r>
        <w:t xml:space="preserve">(</w:t>
      </w:r>
      <w:hyperlink w:anchor="ref-icnl-covid">
        <w:r>
          <w:rPr>
            <w:rStyle w:val="Hyperlink"/>
          </w:rPr>
          <w:t xml:space="preserve">ICNL, 2021</w:t>
        </w:r>
      </w:hyperlink>
      <w:r>
        <w:t xml:space="preserve">)</w:t>
      </w:r>
      <w:r>
        <w:t xml:space="preserve">. While these measures may have been intended to prevent misinformation, they were used to suppress journalists and activists. The government also used restrictions to arbitrarily arrest and detain opponents to the regime—including those protesting the government and its Hindu nationalist policies</w:t>
      </w:r>
      <w:r>
        <w:t xml:space="preserve"> </w:t>
      </w:r>
      <w:r>
        <w:t xml:space="preserve">(</w:t>
      </w:r>
      <w:hyperlink w:anchor="ref-YasirSchultz:2020">
        <w:r>
          <w:rPr>
            <w:rStyle w:val="Hyperlink"/>
          </w:rPr>
          <w:t xml:space="preserve">Yasir &amp; Schultz, 2020</w:t>
        </w:r>
      </w:hyperlink>
      <w:r>
        <w:t xml:space="preserve">)</w:t>
      </w:r>
      <w:r>
        <w:t xml:space="preserve">. Subsequent to their arrest, detainees had limited access to legal counsel, which led to their continued detention. Many measures also violated the right to privacy. Concerns over enhanced surveillance techniques arose after multiple leaks of personal information of infected peoples which has led to discrimination and even assault. These measures led to cases of Muslims being assaulted, harassed, and denied medical attention or spikes in caste-based discrimination and violence during the pandemic</w:t>
      </w:r>
      <w:r>
        <w:t xml:space="preserve"> </w:t>
      </w:r>
      <w:r>
        <w:t xml:space="preserve">(</w:t>
      </w:r>
      <w:hyperlink w:anchor="ref-Ayyub:2020">
        <w:r>
          <w:rPr>
            <w:rStyle w:val="Hyperlink"/>
          </w:rPr>
          <w:t xml:space="preserve">Ayyub, 2020</w:t>
        </w:r>
      </w:hyperlink>
      <w:r>
        <w:t xml:space="preserve">)</w:t>
      </w:r>
      <w:r>
        <w:t xml:space="preserve">. Ultimately, many scholars and policymakers argued that these measures were used to tighten both the government’s grip on media as well as provide a justification to centralize power</w:t>
      </w:r>
      <w:r>
        <w:t xml:space="preserve"> </w:t>
      </w:r>
      <w:r>
        <w:t xml:space="preserve">(</w:t>
      </w:r>
      <w:hyperlink w:anchor="ref-Mukherji:2020">
        <w:r>
          <w:rPr>
            <w:rStyle w:val="Hyperlink"/>
          </w:rPr>
          <w:t xml:space="preserve">Mukherji, 2020</w:t>
        </w:r>
      </w:hyperlink>
      <w:r>
        <w:t xml:space="preserve">)</w:t>
      </w:r>
      <w:r>
        <w:t xml:space="preserve">.</w:t>
      </w:r>
    </w:p>
    <w:p>
      <w:pPr>
        <w:pStyle w:val="BodyText"/>
      </w:pPr>
      <w:r>
        <w:t xml:space="preserve">In The Global State of Democracy 2021 Report, India had the most violations among democracies experiencing backsliding. In the same year, Varieties of Democracy relegated India as an</w:t>
      </w:r>
      <w:r>
        <w:t xml:space="preserve"> </w:t>
      </w:r>
      <w:r>
        <w:t xml:space="preserve">“</w:t>
      </w:r>
      <w:r>
        <w:t xml:space="preserve">electoral autocracy,</w:t>
      </w:r>
      <w:r>
        <w:t xml:space="preserve">”</w:t>
      </w:r>
      <w:r>
        <w:t xml:space="preserve"> </w:t>
      </w:r>
      <w:r>
        <w:t xml:space="preserve">CIVICUS coded India’s civil society environment as</w:t>
      </w:r>
      <w:r>
        <w:t xml:space="preserve"> </w:t>
      </w:r>
      <w:r>
        <w:t xml:space="preserve">“</w:t>
      </w:r>
      <w:r>
        <w:t xml:space="preserve">repressed,</w:t>
      </w:r>
      <w:r>
        <w:t xml:space="preserve">”</w:t>
      </w:r>
      <w:r>
        <w:t xml:space="preserve"> </w:t>
      </w:r>
      <w:r>
        <w:t xml:space="preserve">and Reporters Without Borders in its World Press Freedom Index ranked India 161 out of 180 countries</w:t>
      </w:r>
      <w:r>
        <w:t xml:space="preserve"> </w:t>
      </w:r>
      <w:r>
        <w:t xml:space="preserve">(</w:t>
      </w:r>
      <w:hyperlink w:anchor="ref-Tripathi:2023">
        <w:r>
          <w:rPr>
            <w:rStyle w:val="Hyperlink"/>
          </w:rPr>
          <w:t xml:space="preserve">Tripathi, 2023</w:t>
        </w:r>
      </w:hyperlink>
      <w:r>
        <w:t xml:space="preserve">)</w:t>
      </w:r>
      <w:r>
        <w:t xml:space="preserve">. Thus, over the course of the pandemic, India did not derogate from its treaty obligations, and its pandemic measures were further used to tighten both the government’s grip on the media as a justification to centralize power. These developments occurred in the context of India continuing to maintain an independent relationship with Russia, despite pressure from the West. India repeatedly abstained from UN resolutions condemning Russia, and India’s oil imports from Russia also increased after Western sanctions against the country</w:t>
      </w:r>
      <w:r>
        <w:t xml:space="preserve"> </w:t>
      </w:r>
      <w:r>
        <w:t xml:space="preserve">(</w:t>
      </w:r>
      <w:hyperlink w:anchor="ref-Grossman:2022">
        <w:r>
          <w:rPr>
            <w:rStyle w:val="Hyperlink"/>
          </w:rPr>
          <w:t xml:space="preserve">Grossman, 2022a</w:t>
        </w:r>
      </w:hyperlink>
      <w:r>
        <w:t xml:space="preserve">)</w:t>
      </w:r>
      <w:r>
        <w:t xml:space="preserve">. Thus, analysts have noted that while India is not abandoning the liberal international order, it has also ensured that by refusing to condemn Russia, it continues to receive tangible economic and security benefits from Russia</w:t>
      </w:r>
      <w:r>
        <w:t xml:space="preserve"> </w:t>
      </w:r>
      <w:r>
        <w:t xml:space="preserve">(</w:t>
      </w:r>
      <w:hyperlink w:anchor="ref-Grossman:2022a">
        <w:r>
          <w:rPr>
            <w:rStyle w:val="Hyperlink"/>
          </w:rPr>
          <w:t xml:space="preserve">Grossman, 2022b</w:t>
        </w:r>
      </w:hyperlink>
      <w:r>
        <w:t xml:space="preserve">)</w:t>
      </w:r>
      <w:r>
        <w:t xml:space="preserve">.</w:t>
      </w:r>
    </w:p>
    <w:bookmarkEnd w:id="55"/>
    <w:bookmarkStart w:id="56" w:name="X3f99ded02266dc0f15610249e152b6c91372612"/>
    <w:p>
      <w:pPr>
        <w:pStyle w:val="Heading2"/>
      </w:pPr>
      <w:r>
        <w:t xml:space="preserve">Low risk of backsliding, issued derogations: Armenia</w:t>
      </w:r>
    </w:p>
    <w:p>
      <w:pPr>
        <w:pStyle w:val="FirstParagraph"/>
      </w:pPr>
      <w:r>
        <w:t xml:space="preserve">Armenia declared a state of emergency in March 2020 and promptly derogated from both the ICCPR and ECHR. The declaration of a state of emergency in Armenia through Decree No. 298-N on March 16, 2020, resulted in the suspension of certain constitutional rights and freedoms, including freedom of movement and peaceful assembly</w:t>
      </w:r>
      <w:r>
        <w:t xml:space="preserve"> </w:t>
      </w:r>
      <w:r>
        <w:t xml:space="preserve">(</w:t>
      </w:r>
      <w:hyperlink w:anchor="ref-icnl-covid">
        <w:r>
          <w:rPr>
            <w:rStyle w:val="Hyperlink"/>
          </w:rPr>
          <w:t xml:space="preserve">ICNL, 2021</w:t>
        </w:r>
      </w:hyperlink>
      <w:r>
        <w:t xml:space="preserve">)</w:t>
      </w:r>
      <w:r>
        <w:t xml:space="preserve">. The derogations were later extended in accordance with international law. Armenia also officially notified the Secretary General of the Council of Europe (COE) of possible derogations from the obligations of Armenia under the Convention</w:t>
      </w:r>
      <w:r>
        <w:t xml:space="preserve"> </w:t>
      </w:r>
      <w:r>
        <w:t xml:space="preserve">(</w:t>
      </w:r>
      <w:hyperlink w:anchor="ref-CouncilofEurope:2020a">
        <w:r>
          <w:rPr>
            <w:rStyle w:val="Hyperlink"/>
          </w:rPr>
          <w:t xml:space="preserve">Council of Europe, 2020a</w:t>
        </w:r>
      </w:hyperlink>
      <w:r>
        <w:t xml:space="preserve">)</w:t>
      </w:r>
      <w:r>
        <w:t xml:space="preserve">. On the 16th September 2020, Armenia withdrew all derogations and returned to full compliance with ICCPR</w:t>
      </w:r>
      <w:r>
        <w:t xml:space="preserve"> </w:t>
      </w:r>
      <w:r>
        <w:t xml:space="preserve">(</w:t>
      </w:r>
      <w:hyperlink w:anchor="ref-PeacefulAssemblyWorldwide:2021">
        <w:r>
          <w:rPr>
            <w:rStyle w:val="Hyperlink"/>
          </w:rPr>
          <w:t xml:space="preserve">Peaceful Assembly Worldwide, 2021</w:t>
        </w:r>
      </w:hyperlink>
      <w:r>
        <w:t xml:space="preserve">)</w:t>
      </w:r>
      <w:r>
        <w:t xml:space="preserve">.</w:t>
      </w:r>
    </w:p>
    <w:p>
      <w:pPr>
        <w:pStyle w:val="BodyText"/>
      </w:pPr>
      <w:r>
        <w:t xml:space="preserve">Unlike countries experiencing a high risk of backsliding, the Armenian government worked with civil society representatives and the media to formulate pandemic measures pertaining to them</w:t>
      </w:r>
      <w:r>
        <w:t xml:space="preserve"> </w:t>
      </w:r>
      <w:r>
        <w:t xml:space="preserve">(</w:t>
      </w:r>
      <w:hyperlink w:anchor="ref-CouncilofEurope:2020">
        <w:r>
          <w:rPr>
            <w:rStyle w:val="Hyperlink"/>
          </w:rPr>
          <w:t xml:space="preserve">Council of Europe, 2020b</w:t>
        </w:r>
      </w:hyperlink>
      <w:r>
        <w:t xml:space="preserve">)</w:t>
      </w:r>
      <w:r>
        <w:t xml:space="preserve">. These recommendations were subsequently incorporated into a government decree adopted on 24 March 2020, revising the restrictions, which was welcomed also by the Organisation for Security and Cooperation in Europe (OSCE) Media Freedom Representative, as well as commended by the Armenian media</w:t>
      </w:r>
      <w:r>
        <w:t xml:space="preserve"> </w:t>
      </w:r>
      <w:r>
        <w:t xml:space="preserve">(</w:t>
      </w:r>
      <w:hyperlink w:anchor="ref-CouncilofEurope:2020">
        <w:r>
          <w:rPr>
            <w:rStyle w:val="Hyperlink"/>
          </w:rPr>
          <w:t xml:space="preserve">Council of Europe, 2020b</w:t>
        </w:r>
      </w:hyperlink>
      <w:r>
        <w:t xml:space="preserve">;</w:t>
      </w:r>
      <w:r>
        <w:t xml:space="preserve"> </w:t>
      </w:r>
      <w:hyperlink w:anchor="ref-OSCE:2020">
        <w:r>
          <w:rPr>
            <w:rStyle w:val="Hyperlink"/>
          </w:rPr>
          <w:t xml:space="preserve">OSCE, 2020</w:t>
        </w:r>
      </w:hyperlink>
      <w:r>
        <w:t xml:space="preserve">)</w:t>
      </w:r>
      <w:r>
        <w:t xml:space="preserve">. Furthermore, in its State Reply to the COE on April 13, 2020, the government declared that the restrictions of media activities became void. The rationale was that the Armenian government was highly confident</w:t>
      </w:r>
      <w:r>
        <w:t xml:space="preserve"> </w:t>
      </w:r>
      <w:r>
        <w:t xml:space="preserve">“</w:t>
      </w:r>
      <w:r>
        <w:t xml:space="preserve">in the information on COVID-19 provided by official sources among population and a responsible behavior of the media during this period</w:t>
      </w:r>
      <w:r>
        <w:t xml:space="preserve">”</w:t>
      </w:r>
      <w:r>
        <w:t xml:space="preserve"> </w:t>
      </w:r>
      <w:r>
        <w:t xml:space="preserve">(</w:t>
      </w:r>
      <w:hyperlink w:anchor="ref-CouncilofEurope:2020">
        <w:r>
          <w:rPr>
            <w:rStyle w:val="Hyperlink"/>
          </w:rPr>
          <w:t xml:space="preserve">Council of Europe, 2020b</w:t>
        </w:r>
      </w:hyperlink>
      <w:r>
        <w:t xml:space="preserve">)</w:t>
      </w:r>
      <w:r>
        <w:t xml:space="preserve">. Thus, unlike many other countries, media restrictions were lifted shortly after the state emergency was declared.</w:t>
      </w:r>
    </w:p>
    <w:p>
      <w:pPr>
        <w:pStyle w:val="BodyText"/>
      </w:pPr>
      <w:r>
        <w:t xml:space="preserve">Armenia’s derogations, and transparency not just with the treaty bodies, but also to the COE, as well as respect for media freedoms during this period can be explained, at least in part, by its increasing pivot to the West and desire to engage with the liberal international order. Russian-Armenian relations have been in decline, and there have been increasing discussions about Armenian desire to seek EU candidacy, breaking decades of affiliation with Russia</w:t>
      </w:r>
      <w:r>
        <w:t xml:space="preserve"> </w:t>
      </w:r>
      <w:r>
        <w:t xml:space="preserve">(</w:t>
      </w:r>
      <w:hyperlink w:anchor="ref-Castillo:2024">
        <w:r>
          <w:rPr>
            <w:rStyle w:val="Hyperlink"/>
          </w:rPr>
          <w:t xml:space="preserve">Castillo, 2024</w:t>
        </w:r>
      </w:hyperlink>
      <w:r>
        <w:t xml:space="preserve">)</w:t>
      </w:r>
      <w:r>
        <w:t xml:space="preserve">. After repeated Russian passivity over Azerbaijan’s offensives into Nagorno-Karabakh, Armenia froze relations with the Russian-led Collective Security Treaty Organization, organized military exercises with the US and expanded ties with democratic countries</w:t>
      </w:r>
      <w:r>
        <w:t xml:space="preserve"> </w:t>
      </w:r>
      <w:r>
        <w:t xml:space="preserve">(</w:t>
      </w:r>
      <w:hyperlink w:anchor="ref-Kucera:2023">
        <w:r>
          <w:rPr>
            <w:rStyle w:val="Hyperlink"/>
          </w:rPr>
          <w:t xml:space="preserve">Kucera, 2023</w:t>
        </w:r>
      </w:hyperlink>
      <w:r>
        <w:t xml:space="preserve">)</w:t>
      </w:r>
      <w:r>
        <w:t xml:space="preserve">. In December 2023, the Armenian Foreign Minister hoped that Armenia would,</w:t>
      </w:r>
      <w:r>
        <w:t xml:space="preserve"> </w:t>
      </w:r>
      <w:r>
        <w:t xml:space="preserve">“</w:t>
      </w:r>
      <w:r>
        <w:t xml:space="preserve">get as close to the European Union as the EU deems possible</w:t>
      </w:r>
      <w:r>
        <w:t xml:space="preserve">”</w:t>
      </w:r>
      <w:r>
        <w:t xml:space="preserve"> </w:t>
      </w:r>
      <w:r>
        <w:t xml:space="preserve">(</w:t>
      </w:r>
      <w:hyperlink w:anchor="ref-Castillo:2024">
        <w:r>
          <w:rPr>
            <w:rStyle w:val="Hyperlink"/>
          </w:rPr>
          <w:t xml:space="preserve">Castillo, 2024</w:t>
        </w:r>
      </w:hyperlink>
      <w:r>
        <w:t xml:space="preserve">)</w:t>
      </w:r>
      <w:r>
        <w:t xml:space="preserve">.</w:t>
      </w:r>
    </w:p>
    <w:bookmarkEnd w:id="56"/>
    <w:bookmarkStart w:id="57" w:name="Xc36b3b973c49bc06b4eb316130c71537e42a872"/>
    <w:p>
      <w:pPr>
        <w:pStyle w:val="Heading2"/>
      </w:pPr>
      <w:r>
        <w:t xml:space="preserve">Low risk of backsliding, no derogations: Hungary</w:t>
      </w:r>
    </w:p>
    <w:p>
      <w:pPr>
        <w:pStyle w:val="FirstParagraph"/>
      </w:pPr>
      <w:r>
        <w:t xml:space="preserve">Since taking office in 2010, Hungarian Prime Minister Viktor Orban implemented a number of constitutional and legal changes to consolidate his party’s control over the country’s institutions. In March 2020, in response to the pandemic, his government declared a national</w:t>
      </w:r>
      <w:r>
        <w:t xml:space="preserve"> </w:t>
      </w:r>
      <w:r>
        <w:t xml:space="preserve">“</w:t>
      </w:r>
      <w:r>
        <w:t xml:space="preserve">State of Danger</w:t>
      </w:r>
      <w:r>
        <w:t xml:space="preserve">”</w:t>
      </w:r>
      <w:r>
        <w:t xml:space="preserve">—a special state of emergency</w:t>
      </w:r>
      <w:r>
        <w:t xml:space="preserve"> </w:t>
      </w:r>
      <w:r>
        <w:t xml:space="preserve">(</w:t>
      </w:r>
      <w:hyperlink w:anchor="ref-icnl-covid">
        <w:r>
          <w:rPr>
            <w:rStyle w:val="Hyperlink"/>
          </w:rPr>
          <w:t xml:space="preserve">ICNL, 2021</w:t>
        </w:r>
      </w:hyperlink>
      <w:r>
        <w:t xml:space="preserve">)</w:t>
      </w:r>
      <w:r>
        <w:t xml:space="preserve">. Under this State of Danger, in addition to quarantining and social distancing regulations, and temporary closure of educational institutions, the government also increased police and military presence in the streets, border controls, and entry bans</w:t>
      </w:r>
      <w:r>
        <w:t xml:space="preserve"> </w:t>
      </w:r>
      <w:r>
        <w:t xml:space="preserve">(</w:t>
      </w:r>
      <w:hyperlink w:anchor="ref-icnl-covid">
        <w:r>
          <w:rPr>
            <w:rStyle w:val="Hyperlink"/>
          </w:rPr>
          <w:t xml:space="preserve">ICNL, 2021</w:t>
        </w:r>
      </w:hyperlink>
      <w:r>
        <w:t xml:space="preserve">)</w:t>
      </w:r>
      <w:r>
        <w:t xml:space="preserve">. It also restricted data protection rights mandated by the General Data Protection Regulation (GDPR), an EU agreement that regulates information privacy. These restrictions allowed the government to use personal data of citizens without oversight</w:t>
      </w:r>
      <w:r>
        <w:t xml:space="preserve"> </w:t>
      </w:r>
      <w:r>
        <w:t xml:space="preserve">(</w:t>
      </w:r>
      <w:hyperlink w:anchor="ref-MasseSzaboDenes:2020">
        <w:r>
          <w:rPr>
            <w:rStyle w:val="Hyperlink"/>
          </w:rPr>
          <w:t xml:space="preserve">Massé et al., 2020</w:t>
        </w:r>
      </w:hyperlink>
      <w:r>
        <w:t xml:space="preserve">)</w:t>
      </w:r>
      <w:r>
        <w:t xml:space="preserve">. However, in implementing these measures, the government never notified the UN about its intent to derogate from the ICCPR.</w:t>
      </w:r>
    </w:p>
    <w:p>
      <w:pPr>
        <w:pStyle w:val="BodyText"/>
      </w:pPr>
      <w:r>
        <w:t xml:space="preserve">The enforcement of these pandemic-related measures resulted in numerous violations of ICCPR and of derogation standards of non-discriminatory and proportional measures. In addition, many measures also restricted media freedom. Under one law, journalists who published</w:t>
      </w:r>
      <w:r>
        <w:t xml:space="preserve"> </w:t>
      </w:r>
      <w:r>
        <w:t xml:space="preserve">“</w:t>
      </w:r>
      <w:r>
        <w:t xml:space="preserve">false</w:t>
      </w:r>
      <w:r>
        <w:t xml:space="preserve">”</w:t>
      </w:r>
      <w:r>
        <w:t xml:space="preserve"> </w:t>
      </w:r>
      <w:r>
        <w:t xml:space="preserve">information about the pandemic or distorted government narratives would be punished with five years in jail</w:t>
      </w:r>
      <w:r>
        <w:t xml:space="preserve"> </w:t>
      </w:r>
      <w:r>
        <w:t xml:space="preserve">(</w:t>
      </w:r>
      <w:hyperlink w:anchor="ref-icnl-covid">
        <w:r>
          <w:rPr>
            <w:rStyle w:val="Hyperlink"/>
          </w:rPr>
          <w:t xml:space="preserve">ICNL, 2021</w:t>
        </w:r>
      </w:hyperlink>
      <w:r>
        <w:t xml:space="preserve">)</w:t>
      </w:r>
      <w:r>
        <w:t xml:space="preserve">. The government also limited access to press conferences, only responded to media inquiries from pro-government outlets, and banned local health representatives from talking to the media</w:t>
      </w:r>
      <w:r>
        <w:t xml:space="preserve"> </w:t>
      </w:r>
      <w:r>
        <w:t xml:space="preserve">(</w:t>
      </w:r>
      <w:hyperlink w:anchor="X0f65cf50beda29df206dbcdfcb0f1df96fd8564">
        <w:r>
          <w:rPr>
            <w:rStyle w:val="Hyperlink"/>
          </w:rPr>
          <w:t xml:space="preserve">International Commission of Jurists, 2022</w:t>
        </w:r>
      </w:hyperlink>
      <w:r>
        <w:t xml:space="preserve">)</w:t>
      </w:r>
      <w:r>
        <w:t xml:space="preserve">. A 2022 report by the International Commission of Jurists on Hungary noted that,</w:t>
      </w:r>
      <w:r>
        <w:t xml:space="preserve"> </w:t>
      </w:r>
      <w:r>
        <w:t xml:space="preserve">“</w:t>
      </w:r>
      <w:r>
        <w:t xml:space="preserve">By exercising emergency powers in order to justify the adoption of these measures, the government has failed to comply with or adequately consider international law standards with which such measures clearly conflict</w:t>
      </w:r>
      <w:r>
        <w:t xml:space="preserve">”</w:t>
      </w:r>
      <w:r>
        <w:t xml:space="preserve"> </w:t>
      </w:r>
      <w:r>
        <w:t xml:space="preserve">(</w:t>
      </w:r>
      <w:hyperlink w:anchor="X0f65cf50beda29df206dbcdfcb0f1df96fd8564">
        <w:r>
          <w:rPr>
            <w:rStyle w:val="Hyperlink"/>
          </w:rPr>
          <w:t xml:space="preserve">International Commission of Jurists, 2022</w:t>
        </w:r>
      </w:hyperlink>
      <w:r>
        <w:t xml:space="preserve">)</w:t>
      </w:r>
      <w:r>
        <w:t xml:space="preserve">. European Union Parliament lawmakers, in turn, demanded official punishment and denunciation of Hungary over some of these laws</w:t>
      </w:r>
      <w:r>
        <w:t xml:space="preserve"> </w:t>
      </w:r>
      <w:r>
        <w:t xml:space="preserve">(</w:t>
      </w:r>
      <w:hyperlink w:anchor="ref-Cox:2020">
        <w:r>
          <w:rPr>
            <w:rStyle w:val="Hyperlink"/>
          </w:rPr>
          <w:t xml:space="preserve">Cox, 2020</w:t>
        </w:r>
      </w:hyperlink>
      <w:r>
        <w:t xml:space="preserve">)</w:t>
      </w:r>
      <w:r>
        <w:t xml:space="preserve">.</w:t>
      </w:r>
    </w:p>
    <w:p>
      <w:pPr>
        <w:pStyle w:val="BodyText"/>
      </w:pPr>
      <w:r>
        <w:t xml:space="preserve">Hungary’s brazen violation of not just the ICCPR, but also European regulations such as the GDPR can be reflective of its increasing rift from the European Union (EU) and its pivot towards Russia. Hungary buys billions of dollars in Russian oil and gas, despite many in the West ceasing to do so after Russia’s invasion of Ukraine</w:t>
      </w:r>
      <w:r>
        <w:t xml:space="preserve"> </w:t>
      </w:r>
      <w:r>
        <w:t xml:space="preserve">(</w:t>
      </w:r>
      <w:hyperlink w:anchor="ref-GavinJackGijs:2024">
        <w:r>
          <w:rPr>
            <w:rStyle w:val="Hyperlink"/>
          </w:rPr>
          <w:t xml:space="preserve">Gavin et al., 2024</w:t>
        </w:r>
      </w:hyperlink>
      <w:r>
        <w:t xml:space="preserve">)</w:t>
      </w:r>
      <w:r>
        <w:t xml:space="preserve">. Unlike other countries that voluntarily divested from Russian gas, Hungary even struck new deals with Moscow</w:t>
      </w:r>
      <w:r>
        <w:t xml:space="preserve"> </w:t>
      </w:r>
      <w:r>
        <w:t xml:space="preserve">(</w:t>
      </w:r>
      <w:hyperlink w:anchor="ref-GavinJackGijs:2024">
        <w:r>
          <w:rPr>
            <w:rStyle w:val="Hyperlink"/>
          </w:rPr>
          <w:t xml:space="preserve">Gavin et al., 2024</w:t>
        </w:r>
      </w:hyperlink>
      <w:r>
        <w:t xml:space="preserve">)</w:t>
      </w:r>
      <w:r>
        <w:t xml:space="preserve">. Meanwhile, Orban has also criticized EU sanctions on Russia and blocked EU financial assistance for Ukraine</w:t>
      </w:r>
      <w:r>
        <w:t xml:space="preserve"> </w:t>
      </w:r>
      <w:r>
        <w:t xml:space="preserve">(</w:t>
      </w:r>
      <w:hyperlink w:anchor="ref-Ridgwell:2024">
        <w:r>
          <w:rPr>
            <w:rStyle w:val="Hyperlink"/>
          </w:rPr>
          <w:t xml:space="preserve">Ridgwell, 2024</w:t>
        </w:r>
      </w:hyperlink>
      <w:r>
        <w:t xml:space="preserve">)</w:t>
      </w:r>
      <w:r>
        <w:t xml:space="preserve">. However, Russia is not the only alternative source of goods for Hungary—more recently, China has filled in this role. In 2023, Hungary was among the largest global recipients of Chinese Belt and Road Initiative investment to finance a high-speed railway from Budapest to Serbia</w:t>
      </w:r>
      <w:r>
        <w:t xml:space="preserve"> </w:t>
      </w:r>
      <w:r>
        <w:t xml:space="preserve">(</w:t>
      </w:r>
      <w:hyperlink w:anchor="ref-Ridgwell:2024">
        <w:r>
          <w:rPr>
            <w:rStyle w:val="Hyperlink"/>
          </w:rPr>
          <w:t xml:space="preserve">Ridgwell, 2024</w:t>
        </w:r>
      </w:hyperlink>
      <w:r>
        <w:t xml:space="preserve">)</w:t>
      </w:r>
      <w:r>
        <w:t xml:space="preserve">. Thus, the presence of alternative patron states may have emboldened Hungary to violate not just international, but also European laws.</w:t>
      </w:r>
    </w:p>
    <w:bookmarkEnd w:id="57"/>
    <w:bookmarkEnd w:id="58"/>
    <w:bookmarkStart w:id="123" w:name="references"/>
    <w:p>
      <w:pPr>
        <w:pStyle w:val="Heading1"/>
      </w:pPr>
      <w:r>
        <w:t xml:space="preserve">References</w:t>
      </w:r>
    </w:p>
    <w:bookmarkStart w:id="122" w:name="refs"/>
    <w:bookmarkStart w:id="60" w:name="ref-AmnestyInternational:2020"/>
    <w:p>
      <w:pPr>
        <w:pStyle w:val="Bibliography"/>
      </w:pPr>
      <w:r>
        <w:t xml:space="preserve">Amnesty International. (2020, March 16).</w:t>
      </w:r>
      <w:r>
        <w:t xml:space="preserve"> </w:t>
      </w:r>
      <w:r>
        <w:rPr>
          <w:i/>
          <w:iCs/>
        </w:rPr>
        <w:t xml:space="preserve">Responses to COVID-19 and states’ human rights obligations: Preliminary observations</w:t>
      </w:r>
      <w:r>
        <w:t xml:space="preserve"> </w:t>
      </w:r>
      <w:r>
        <w:t xml:space="preserve">[Press release].</w:t>
      </w:r>
      <w:r>
        <w:t xml:space="preserve"> </w:t>
      </w:r>
      <w:hyperlink r:id="rId59">
        <w:r>
          <w:rPr>
            <w:rStyle w:val="Hyperlink"/>
          </w:rPr>
          <w:t xml:space="preserve">https://www.amnestyusa.org/press-releases/responses-to-covid-19-and-states-human-rights-obligations-preliminary-observations/</w:t>
        </w:r>
      </w:hyperlink>
    </w:p>
    <w:bookmarkEnd w:id="60"/>
    <w:bookmarkStart w:id="62" w:name="ref-Ayyub:2020"/>
    <w:p>
      <w:pPr>
        <w:pStyle w:val="Bibliography"/>
      </w:pPr>
      <w:r>
        <w:t xml:space="preserve">Ayyub, R. (2020, April 6). Islamophobia taints India’s response to the coronavirus.</w:t>
      </w:r>
      <w:r>
        <w:t xml:space="preserve"> </w:t>
      </w:r>
      <w:r>
        <w:rPr>
          <w:i/>
          <w:iCs/>
        </w:rPr>
        <w:t xml:space="preserve">Washington Post</w:t>
      </w:r>
      <w:r>
        <w:t xml:space="preserve">.</w:t>
      </w:r>
      <w:r>
        <w:t xml:space="preserve"> </w:t>
      </w:r>
      <w:hyperlink r:id="rId61">
        <w:r>
          <w:rPr>
            <w:rStyle w:val="Hyperlink"/>
          </w:rPr>
          <w:t xml:space="preserve">https://www.washingtonpost.com/opinions/2020/04/06/islamophobia-taints-indias-response-coronavirus/</w:t>
        </w:r>
      </w:hyperlink>
    </w:p>
    <w:bookmarkEnd w:id="62"/>
    <w:bookmarkStart w:id="64" w:name="ref-Burkner:2017"/>
    <w:p>
      <w:pPr>
        <w:pStyle w:val="Bibliography"/>
      </w:pPr>
      <w:r>
        <w:t xml:space="preserve">Bürkner, P.-C. (2017).</w:t>
      </w:r>
      <w:r>
        <w:t xml:space="preserve"> </w:t>
      </w:r>
      <w:r>
        <w:t xml:space="preserve">brms</w:t>
      </w:r>
      <w:r>
        <w:t xml:space="preserve">: An R package for Bayesian multilevel models using Stan.</w:t>
      </w:r>
      <w:r>
        <w:t xml:space="preserve"> </w:t>
      </w:r>
      <w:r>
        <w:rPr>
          <w:i/>
          <w:iCs/>
        </w:rPr>
        <w:t xml:space="preserve">Journal of Statistical Software</w:t>
      </w:r>
      <w:r>
        <w:t xml:space="preserve">,</w:t>
      </w:r>
      <w:r>
        <w:t xml:space="preserve"> </w:t>
      </w:r>
      <w:r>
        <w:rPr>
          <w:i/>
          <w:iCs/>
        </w:rPr>
        <w:t xml:space="preserve">80</w:t>
      </w:r>
      <w:r>
        <w:t xml:space="preserve">(1), 1–28.</w:t>
      </w:r>
      <w:r>
        <w:t xml:space="preserve"> </w:t>
      </w:r>
      <w:hyperlink r:id="rId63">
        <w:r>
          <w:rPr>
            <w:rStyle w:val="Hyperlink"/>
          </w:rPr>
          <w:t xml:space="preserve">https://doi.org/10.18637/jss.v080.i01</w:t>
        </w:r>
      </w:hyperlink>
    </w:p>
    <w:bookmarkEnd w:id="64"/>
    <w:bookmarkStart w:id="66" w:name="ref-Castillo:2024"/>
    <w:p>
      <w:pPr>
        <w:pStyle w:val="Bibliography"/>
      </w:pPr>
      <w:r>
        <w:t xml:space="preserve">Castillo, N. (2024, April 18).</w:t>
      </w:r>
      <w:r>
        <w:t xml:space="preserve"> </w:t>
      </w:r>
      <w:r>
        <w:rPr>
          <w:i/>
          <w:iCs/>
        </w:rPr>
        <w:t xml:space="preserve">Armenia’s grand rebalance: EU and Russia</w:t>
      </w:r>
      <w:r>
        <w:t xml:space="preserve">. Caspian Policy Center.</w:t>
      </w:r>
      <w:r>
        <w:t xml:space="preserve"> </w:t>
      </w:r>
      <w:hyperlink r:id="rId65">
        <w:r>
          <w:rPr>
            <w:rStyle w:val="Hyperlink"/>
          </w:rPr>
          <w:t xml:space="preserve">https://www.caspianpolicy.org/research/armenia/armenias-grand-rebalance-eu-and-russia</w:t>
        </w:r>
      </w:hyperlink>
    </w:p>
    <w:bookmarkEnd w:id="66"/>
    <w:bookmarkStart w:id="68" w:name="ref-ChaudhryPrasad:2020"/>
    <w:p>
      <w:pPr>
        <w:pStyle w:val="Bibliography"/>
      </w:pPr>
      <w:r>
        <w:t xml:space="preserve">Chaudhry, S., &amp; Prasad, S. K. (2020, March 30). How India plans to put 1.3 billion people on a coronavirus lockdown.</w:t>
      </w:r>
      <w:r>
        <w:t xml:space="preserve"> </w:t>
      </w:r>
      <w:r>
        <w:rPr>
          <w:i/>
          <w:iCs/>
        </w:rPr>
        <w:t xml:space="preserve">Washington Post</w:t>
      </w:r>
      <w:r>
        <w:t xml:space="preserve">.</w:t>
      </w:r>
      <w:r>
        <w:t xml:space="preserve"> </w:t>
      </w:r>
      <w:hyperlink r:id="rId67">
        <w:r>
          <w:rPr>
            <w:rStyle w:val="Hyperlink"/>
          </w:rPr>
          <w:t xml:space="preserve">https://www.washingtonpost.com/politics/2020/03/30/how-india-plans-put-13-billion-people-coronavirus-lockdown/</w:t>
        </w:r>
      </w:hyperlink>
    </w:p>
    <w:bookmarkEnd w:id="68"/>
    <w:bookmarkStart w:id="70" w:name="ref-Comstock:2019"/>
    <w:p>
      <w:pPr>
        <w:pStyle w:val="Bibliography"/>
      </w:pPr>
      <w:r>
        <w:t xml:space="preserve">Comstock, A. L. (2019). Adjusted ratification: Post-commitment actions to UN human rights treaties.</w:t>
      </w:r>
      <w:r>
        <w:t xml:space="preserve"> </w:t>
      </w:r>
      <w:r>
        <w:rPr>
          <w:i/>
          <w:iCs/>
        </w:rPr>
        <w:t xml:space="preserve">Human Rights Review</w:t>
      </w:r>
      <w:r>
        <w:t xml:space="preserve">,</w:t>
      </w:r>
      <w:r>
        <w:t xml:space="preserve"> </w:t>
      </w:r>
      <w:r>
        <w:rPr>
          <w:i/>
          <w:iCs/>
        </w:rPr>
        <w:t xml:space="preserve">20</w:t>
      </w:r>
      <w:r>
        <w:t xml:space="preserve">(1), 23–45.</w:t>
      </w:r>
      <w:r>
        <w:t xml:space="preserve"> </w:t>
      </w:r>
      <w:hyperlink r:id="rId69">
        <w:r>
          <w:rPr>
            <w:rStyle w:val="Hyperlink"/>
          </w:rPr>
          <w:t xml:space="preserve">https://doi.org/10.1007/s12142-018-0536-0</w:t>
        </w:r>
      </w:hyperlink>
    </w:p>
    <w:bookmarkEnd w:id="70"/>
    <w:bookmarkStart w:id="72" w:name="ref-const-india-352"/>
    <w:p>
      <w:pPr>
        <w:pStyle w:val="Bibliography"/>
      </w:pPr>
      <w:r>
        <w:t xml:space="preserve">Constitution of India. (n.d.).</w:t>
      </w:r>
      <w:r>
        <w:t xml:space="preserve"> </w:t>
      </w:r>
      <w:r>
        <w:rPr>
          <w:i/>
          <w:iCs/>
        </w:rPr>
        <w:t xml:space="preserve">Proclamation of emergency</w:t>
      </w:r>
      <w:r>
        <w:t xml:space="preserve"> </w:t>
      </w:r>
      <w:r>
        <w:t xml:space="preserve">(Part XVIII, article 352).</w:t>
      </w:r>
      <w:r>
        <w:t xml:space="preserve"> </w:t>
      </w:r>
      <w:hyperlink r:id="rId71">
        <w:r>
          <w:rPr>
            <w:rStyle w:val="Hyperlink"/>
          </w:rPr>
          <w:t xml:space="preserve">https://www.constitutionofindia.net/articles/article-352-proclamation-of-emergency/</w:t>
        </w:r>
      </w:hyperlink>
    </w:p>
    <w:bookmarkEnd w:id="72"/>
    <w:bookmarkStart w:id="74" w:name="ref-CouncilofEurope:2020a"/>
    <w:p>
      <w:pPr>
        <w:pStyle w:val="Bibliography"/>
      </w:pPr>
      <w:r>
        <w:t xml:space="preserve">Council of Europe. (2020a).</w:t>
      </w:r>
      <w:r>
        <w:t xml:space="preserve"> </w:t>
      </w:r>
      <w:r>
        <w:rPr>
          <w:i/>
          <w:iCs/>
        </w:rPr>
        <w:t xml:space="preserve">Armenia: Declaration related to the Convention for the Protection of Human Rights and Fundamental Freedoms (ETS No. 5)</w:t>
      </w:r>
      <w:r>
        <w:t xml:space="preserve"> </w:t>
      </w:r>
      <w:r>
        <w:t xml:space="preserve">(JJ9015C Tr./005-227). Council of Europe Treaty Office.</w:t>
      </w:r>
      <w:r>
        <w:t xml:space="preserve"> </w:t>
      </w:r>
      <w:hyperlink r:id="rId73">
        <w:r>
          <w:rPr>
            <w:rStyle w:val="Hyperlink"/>
          </w:rPr>
          <w:t xml:space="preserve">https://www.coe.int/en/web/conventions/derogations-covid-19</w:t>
        </w:r>
      </w:hyperlink>
    </w:p>
    <w:bookmarkEnd w:id="74"/>
    <w:bookmarkStart w:id="76" w:name="ref-CouncilofEurope:2020"/>
    <w:p>
      <w:pPr>
        <w:pStyle w:val="Bibliography"/>
      </w:pPr>
      <w:r>
        <w:t xml:space="preserve">Council of Europe. (2020b, April 13).</w:t>
      </w:r>
      <w:r>
        <w:t xml:space="preserve"> </w:t>
      </w:r>
      <w:r>
        <w:rPr>
          <w:i/>
          <w:iCs/>
        </w:rPr>
        <w:t xml:space="preserve">Armenian State reply to the alert</w:t>
      </w:r>
      <w:r>
        <w:rPr>
          <w:i/>
          <w:iCs/>
        </w:rPr>
        <w:t xml:space="preserve"> </w:t>
      </w:r>
      <w:r>
        <w:rPr>
          <w:i/>
          <w:iCs/>
        </w:rPr>
        <w:t xml:space="preserve">“Emergency Restrictions Force Media to Suppress Independent Information on COVID-19”</w:t>
      </w:r>
      <w:r>
        <w:t xml:space="preserve">.</w:t>
      </w:r>
      <w:r>
        <w:t xml:space="preserve"> </w:t>
      </w:r>
      <w:hyperlink r:id="rId75">
        <w:r>
          <w:rPr>
            <w:rStyle w:val="Hyperlink"/>
          </w:rPr>
          <w:t xml:space="preserve">https://rm.coe.int/armenia-reply-en-emergency-restrictions-force-media-to-suppress-indepe/16809e4ace</w:t>
        </w:r>
      </w:hyperlink>
    </w:p>
    <w:bookmarkEnd w:id="76"/>
    <w:bookmarkStart w:id="78" w:name="ref-Cox:2020"/>
    <w:p>
      <w:pPr>
        <w:pStyle w:val="Bibliography"/>
      </w:pPr>
      <w:r>
        <w:t xml:space="preserve">Cox, M. (2020). States of emergency and human rights during a pandemic: A Hungarian case study.</w:t>
      </w:r>
      <w:r>
        <w:t xml:space="preserve"> </w:t>
      </w:r>
      <w:r>
        <w:rPr>
          <w:i/>
          <w:iCs/>
        </w:rPr>
        <w:t xml:space="preserve">Human Rights Brief</w:t>
      </w:r>
      <w:r>
        <w:t xml:space="preserve">,</w:t>
      </w:r>
      <w:r>
        <w:t xml:space="preserve"> </w:t>
      </w:r>
      <w:r>
        <w:rPr>
          <w:i/>
          <w:iCs/>
        </w:rPr>
        <w:t xml:space="preserve">24</w:t>
      </w:r>
      <w:r>
        <w:t xml:space="preserve">(1).</w:t>
      </w:r>
      <w:r>
        <w:t xml:space="preserve"> </w:t>
      </w:r>
      <w:hyperlink r:id="rId77">
        <w:r>
          <w:rPr>
            <w:rStyle w:val="Hyperlink"/>
          </w:rPr>
          <w:t xml:space="preserve">https://digitalcommons.wcl.american.edu/hrbrief/vol24/iss1/5/</w:t>
        </w:r>
      </w:hyperlink>
    </w:p>
    <w:bookmarkEnd w:id="78"/>
    <w:bookmarkStart w:id="80" w:name="ref-FreemanPerello:2023"/>
    <w:p>
      <w:pPr>
        <w:pStyle w:val="Bibliography"/>
      </w:pPr>
      <w:r>
        <w:t xml:space="preserve">Freeman, W., &amp; Perelló, L. (2023, August). A shock to Guatemala’s system.</w:t>
      </w:r>
      <w:r>
        <w:t xml:space="preserve"> </w:t>
      </w:r>
      <w:r>
        <w:rPr>
          <w:i/>
          <w:iCs/>
        </w:rPr>
        <w:t xml:space="preserve">Journal of Democracy</w:t>
      </w:r>
      <w:r>
        <w:t xml:space="preserve">.</w:t>
      </w:r>
      <w:r>
        <w:t xml:space="preserve"> </w:t>
      </w:r>
      <w:hyperlink r:id="rId79">
        <w:r>
          <w:rPr>
            <w:rStyle w:val="Hyperlink"/>
          </w:rPr>
          <w:t xml:space="preserve">https://www.journalofdemocracy.org/online-exclusive/a-shock-to-guatemalas-system/</w:t>
        </w:r>
      </w:hyperlink>
    </w:p>
    <w:bookmarkEnd w:id="80"/>
    <w:bookmarkStart w:id="82" w:name="ref-GavinJackGijs:2024"/>
    <w:p>
      <w:pPr>
        <w:pStyle w:val="Bibliography"/>
      </w:pPr>
      <w:r>
        <w:t xml:space="preserve">Gavin, G., Jack, V., &amp; Gijs, C. (2024, May 13). Hungary teases veto over new EU Russian gas sanctions.</w:t>
      </w:r>
      <w:r>
        <w:t xml:space="preserve"> </w:t>
      </w:r>
      <w:r>
        <w:rPr>
          <w:i/>
          <w:iCs/>
        </w:rPr>
        <w:t xml:space="preserve">Politico</w:t>
      </w:r>
      <w:r>
        <w:t xml:space="preserve">.</w:t>
      </w:r>
      <w:r>
        <w:t xml:space="preserve"> </w:t>
      </w:r>
      <w:hyperlink r:id="rId81">
        <w:r>
          <w:rPr>
            <w:rStyle w:val="Hyperlink"/>
          </w:rPr>
          <w:t xml:space="preserve">https://www.politico.eu/article/hungary-veto-eu-russia-gas-sanctions/</w:t>
        </w:r>
      </w:hyperlink>
    </w:p>
    <w:bookmarkEnd w:id="82"/>
    <w:bookmarkStart w:id="84" w:name="ref-GelmanJakulinPittau:2008"/>
    <w:p>
      <w:pPr>
        <w:pStyle w:val="Bibliography"/>
      </w:pPr>
      <w:r>
        <w:t xml:space="preserve">Gelman, A., Jakulin, A., Pittau, M. G., &amp; Su, Y.-S. (2008). A weakly informative default prior distribution for logistic and other regression models.</w:t>
      </w:r>
      <w:r>
        <w:t xml:space="preserve"> </w:t>
      </w:r>
      <w:r>
        <w:rPr>
          <w:i/>
          <w:iCs/>
        </w:rPr>
        <w:t xml:space="preserve">The Annals of Applied Statistics</w:t>
      </w:r>
      <w:r>
        <w:t xml:space="preserve">,</w:t>
      </w:r>
      <w:r>
        <w:t xml:space="preserve"> </w:t>
      </w:r>
      <w:r>
        <w:rPr>
          <w:i/>
          <w:iCs/>
        </w:rPr>
        <w:t xml:space="preserve">2</w:t>
      </w:r>
      <w:r>
        <w:t xml:space="preserve">(4).</w:t>
      </w:r>
      <w:r>
        <w:t xml:space="preserve"> </w:t>
      </w:r>
      <w:hyperlink r:id="rId83">
        <w:r>
          <w:rPr>
            <w:rStyle w:val="Hyperlink"/>
          </w:rPr>
          <w:t xml:space="preserve">https://doi.org/10.1214/08-AOAS191</w:t>
        </w:r>
      </w:hyperlink>
    </w:p>
    <w:bookmarkEnd w:id="84"/>
    <w:bookmarkStart w:id="86" w:name="ref-Grossman:2022"/>
    <w:p>
      <w:pPr>
        <w:pStyle w:val="Bibliography"/>
      </w:pPr>
      <w:r>
        <w:t xml:space="preserve">Grossman, D. (2022a, June 6). Modi’s multipolar moment has arrived.</w:t>
      </w:r>
      <w:r>
        <w:t xml:space="preserve"> </w:t>
      </w:r>
      <w:r>
        <w:rPr>
          <w:i/>
          <w:iCs/>
        </w:rPr>
        <w:t xml:space="preserve">Foreign Policy</w:t>
      </w:r>
      <w:r>
        <w:t xml:space="preserve">.</w:t>
      </w:r>
      <w:r>
        <w:t xml:space="preserve"> </w:t>
      </w:r>
      <w:hyperlink r:id="rId85">
        <w:r>
          <w:rPr>
            <w:rStyle w:val="Hyperlink"/>
          </w:rPr>
          <w:t xml:space="preserve">https://foreignpolicy.com/2022/06/06/modi-india-russia-ukraine-war-china-us-geopolitics-multipolar-quad/</w:t>
        </w:r>
      </w:hyperlink>
    </w:p>
    <w:bookmarkEnd w:id="86"/>
    <w:bookmarkStart w:id="88" w:name="ref-Grossman:2022a"/>
    <w:p>
      <w:pPr>
        <w:pStyle w:val="Bibliography"/>
      </w:pPr>
      <w:r>
        <w:t xml:space="preserve">Grossman, D. (2022b, December 9). India’s maddening Russia policy isn’t as bad as Washington thinks.</w:t>
      </w:r>
      <w:r>
        <w:t xml:space="preserve"> </w:t>
      </w:r>
      <w:r>
        <w:rPr>
          <w:i/>
          <w:iCs/>
        </w:rPr>
        <w:t xml:space="preserve">Foreign Policy</w:t>
      </w:r>
      <w:r>
        <w:t xml:space="preserve">.</w:t>
      </w:r>
      <w:r>
        <w:t xml:space="preserve"> </w:t>
      </w:r>
      <w:hyperlink r:id="rId87">
        <w:r>
          <w:rPr>
            <w:rStyle w:val="Hyperlink"/>
          </w:rPr>
          <w:t xml:space="preserve">https://foreignpolicy.com/2022/12/09/india-russia-ukraine-war-putin-modi-biden-sanctions-geopolitics/</w:t>
        </w:r>
      </w:hyperlink>
    </w:p>
    <w:bookmarkEnd w:id="88"/>
    <w:bookmarkStart w:id="90" w:name="ref-icnl-covid"/>
    <w:p>
      <w:pPr>
        <w:pStyle w:val="Bibliography"/>
      </w:pPr>
      <w:r>
        <w:t xml:space="preserve">ICNL. (2021).</w:t>
      </w:r>
      <w:r>
        <w:t xml:space="preserve"> </w:t>
      </w:r>
      <w:r>
        <w:rPr>
          <w:i/>
          <w:iCs/>
        </w:rPr>
        <w:t xml:space="preserve">COVID-19 civic freedom tracker</w:t>
      </w:r>
      <w:r>
        <w:t xml:space="preserve">.</w:t>
      </w:r>
      <w:r>
        <w:t xml:space="preserve"> </w:t>
      </w:r>
      <w:hyperlink r:id="rId89">
        <w:r>
          <w:rPr>
            <w:rStyle w:val="Hyperlink"/>
          </w:rPr>
          <w:t xml:space="preserve">https://www.icnl.org/covid19tracker/</w:t>
        </w:r>
      </w:hyperlink>
    </w:p>
    <w:bookmarkEnd w:id="90"/>
    <w:bookmarkStart w:id="92" w:name="X0f65cf50beda29df206dbcdfcb0f1df96fd8564"/>
    <w:p>
      <w:pPr>
        <w:pStyle w:val="Bibliography"/>
      </w:pPr>
      <w:r>
        <w:t xml:space="preserve">International Commission of Jurists. (2022).</w:t>
      </w:r>
      <w:r>
        <w:t xml:space="preserve"> </w:t>
      </w:r>
      <w:r>
        <w:rPr>
          <w:i/>
          <w:iCs/>
        </w:rPr>
        <w:t xml:space="preserve">A facade of legality: COVID-19 and the exploitation of emergency powers in Hungary</w:t>
      </w:r>
      <w:r>
        <w:t xml:space="preserve">. International Commission of Jurists.</w:t>
      </w:r>
      <w:r>
        <w:t xml:space="preserve"> </w:t>
      </w:r>
      <w:hyperlink r:id="rId91">
        <w:r>
          <w:rPr>
            <w:rStyle w:val="Hyperlink"/>
          </w:rPr>
          <w:t xml:space="preserve">https://www.icj.org/wp-content/uploads/2022/02/Hungary-A-Facade-of-Legality-legal-briefing-2022-ENG.pdf</w:t>
        </w:r>
      </w:hyperlink>
    </w:p>
    <w:bookmarkEnd w:id="92"/>
    <w:bookmarkStart w:id="94" w:name="ref-IstrefiHumburg:2020"/>
    <w:p>
      <w:pPr>
        <w:pStyle w:val="Bibliography"/>
      </w:pPr>
      <w:r>
        <w:t xml:space="preserve">Istrefi, K., &amp; Humburg, I. (2020, April 18). To notify or not to notify: Derogations from human rights treaties.</w:t>
      </w:r>
      <w:r>
        <w:t xml:space="preserve"> </w:t>
      </w:r>
      <w:r>
        <w:rPr>
          <w:i/>
          <w:iCs/>
        </w:rPr>
        <w:t xml:space="preserve">Opinio Juris</w:t>
      </w:r>
      <w:r>
        <w:t xml:space="preserve">.</w:t>
      </w:r>
      <w:r>
        <w:t xml:space="preserve"> </w:t>
      </w:r>
      <w:hyperlink r:id="rId93">
        <w:r>
          <w:rPr>
            <w:rStyle w:val="Hyperlink"/>
          </w:rPr>
          <w:t xml:space="preserve">https://opiniojuris.org/2020/04/18/to-notify-or-not-to-notify-derogations-from-human-rights-treaties/</w:t>
        </w:r>
      </w:hyperlink>
    </w:p>
    <w:bookmarkEnd w:id="94"/>
    <w:bookmarkStart w:id="96" w:name="ref-Kucera:2023"/>
    <w:p>
      <w:pPr>
        <w:pStyle w:val="Bibliography"/>
      </w:pPr>
      <w:r>
        <w:t xml:space="preserve">Kucera, J. (2023, September 13). Is Armenia turning to the west?</w:t>
      </w:r>
      <w:r>
        <w:t xml:space="preserve"> </w:t>
      </w:r>
      <w:r>
        <w:rPr>
          <w:i/>
          <w:iCs/>
        </w:rPr>
        <w:t xml:space="preserve">Radio Free Europe/Radio Liberty</w:t>
      </w:r>
      <w:r>
        <w:t xml:space="preserve">.</w:t>
      </w:r>
      <w:r>
        <w:t xml:space="preserve"> </w:t>
      </w:r>
      <w:hyperlink r:id="rId95">
        <w:r>
          <w:rPr>
            <w:rStyle w:val="Hyperlink"/>
          </w:rPr>
          <w:t xml:space="preserve">https://www.rferl.org/a/armenia-pashinian-united-states-west-relations-russia-analysis/32591327.html</w:t>
        </w:r>
      </w:hyperlink>
    </w:p>
    <w:bookmarkEnd w:id="96"/>
    <w:bookmarkStart w:id="98" w:name="ref-MasseSzaboDenes:2020"/>
    <w:p>
      <w:pPr>
        <w:pStyle w:val="Bibliography"/>
      </w:pPr>
      <w:r>
        <w:t xml:space="preserve">Massé, E., Szabó, M., &amp; Dénes, B. (2020).</w:t>
      </w:r>
      <w:r>
        <w:t xml:space="preserve"> </w:t>
      </w:r>
      <w:r>
        <w:rPr>
          <w:i/>
          <w:iCs/>
        </w:rPr>
        <w:t xml:space="preserve">Joint letter to the European Data Protection Board (EDPB) from Access Now, Hungarian Civil Liberties Union, and Civil Liberties Union for Europe</w:t>
      </w:r>
      <w:r>
        <w:t xml:space="preserve">.</w:t>
      </w:r>
      <w:r>
        <w:t xml:space="preserve"> </w:t>
      </w:r>
      <w:hyperlink r:id="rId97">
        <w:r>
          <w:rPr>
            <w:rStyle w:val="Hyperlink"/>
          </w:rPr>
          <w:t xml:space="preserve">https://hclu.hu/en/articles/joint-letter-hungarian-govts-decision-to-limit-gdpr-rights-is-disproportionate-and-unjustified</w:t>
        </w:r>
      </w:hyperlink>
    </w:p>
    <w:bookmarkEnd w:id="98"/>
    <w:bookmarkStart w:id="99" w:name="ref-Mercadal:2024"/>
    <w:p>
      <w:pPr>
        <w:pStyle w:val="Bibliography"/>
      </w:pPr>
      <w:r>
        <w:t xml:space="preserve">Mercadal, T. (2024). The collective narratives of Covid-19 in Guatemala: The state, the church, the people. In A. Espinoza Carvajal &amp; L. Medina Cordova (Eds.),</w:t>
      </w:r>
      <w:r>
        <w:t xml:space="preserve"> </w:t>
      </w:r>
      <w:r>
        <w:rPr>
          <w:i/>
          <w:iCs/>
        </w:rPr>
        <w:t xml:space="preserve">Pandemic and Narration: Covid-19 Narratives in Latin America</w:t>
      </w:r>
      <w:r>
        <w:t xml:space="preserve">. Vernon Press.</w:t>
      </w:r>
    </w:p>
    <w:bookmarkEnd w:id="99"/>
    <w:bookmarkStart w:id="101" w:name="X5dbfbee7e6b4775b5a8dc90312c9e0b8a505b2a"/>
    <w:p>
      <w:pPr>
        <w:pStyle w:val="Bibliography"/>
      </w:pPr>
      <w:r>
        <w:t xml:space="preserve">Ministerio de Relaciones Exteriores de Guatemala. (2020).</w:t>
      </w:r>
      <w:r>
        <w:t xml:space="preserve"> </w:t>
      </w:r>
      <w:r>
        <w:rPr>
          <w:i/>
          <w:iCs/>
        </w:rPr>
        <w:t xml:space="preserve">Suspensión de garantías constitucionales debido a la pandemia de COVID-19</w:t>
      </w:r>
      <w:r>
        <w:t xml:space="preserve"> </w:t>
      </w:r>
      <w:r>
        <w:t xml:space="preserve">(Ref. NV-OEA-M4-No.182-2020). Organization of American States.</w:t>
      </w:r>
      <w:r>
        <w:t xml:space="preserve"> </w:t>
      </w:r>
      <w:hyperlink r:id="rId100">
        <w:r>
          <w:rPr>
            <w:rStyle w:val="Hyperlink"/>
          </w:rPr>
          <w:t xml:space="preserve">http://www.oas.org/es/sla/ddi/docs/tratados_multilaterales_suspencion_garantias_Guatemala_nota_No_182-2020.pdf</w:t>
        </w:r>
      </w:hyperlink>
    </w:p>
    <w:bookmarkEnd w:id="101"/>
    <w:bookmarkStart w:id="103" w:name="ref-Mukherji:2020"/>
    <w:p>
      <w:pPr>
        <w:pStyle w:val="Bibliography"/>
      </w:pPr>
      <w:r>
        <w:t xml:space="preserve">Mukherji, R. (2020). Covid vs. democracy: India’s Illiberal remedy.</w:t>
      </w:r>
      <w:r>
        <w:t xml:space="preserve"> </w:t>
      </w:r>
      <w:r>
        <w:rPr>
          <w:i/>
          <w:iCs/>
        </w:rPr>
        <w:t xml:space="preserve">Journal of Democracy</w:t>
      </w:r>
      <w:r>
        <w:t xml:space="preserve">,</w:t>
      </w:r>
      <w:r>
        <w:t xml:space="preserve"> </w:t>
      </w:r>
      <w:r>
        <w:rPr>
          <w:i/>
          <w:iCs/>
        </w:rPr>
        <w:t xml:space="preserve">31</w:t>
      </w:r>
      <w:r>
        <w:t xml:space="preserve">(4), 91–105.</w:t>
      </w:r>
      <w:r>
        <w:t xml:space="preserve"> </w:t>
      </w:r>
      <w:hyperlink r:id="rId102">
        <w:r>
          <w:rPr>
            <w:rStyle w:val="Hyperlink"/>
          </w:rPr>
          <w:t xml:space="preserve">https://doi.org/10.1353/jod.2020.0058</w:t>
        </w:r>
      </w:hyperlink>
    </w:p>
    <w:bookmarkEnd w:id="103"/>
    <w:bookmarkStart w:id="105" w:name="ref-OHCHR:2023"/>
    <w:p>
      <w:pPr>
        <w:pStyle w:val="Bibliography"/>
      </w:pPr>
      <w:r>
        <w:t xml:space="preserve">OHCHR. (2023).</w:t>
      </w:r>
      <w:r>
        <w:t xml:space="preserve"> </w:t>
      </w:r>
      <w:r>
        <w:rPr>
          <w:i/>
          <w:iCs/>
        </w:rPr>
        <w:t xml:space="preserve">Experts of the Committee on the Elimination of Discrimination against Women welcome women’s increased participation in public life in Guatemala, ask the state about political violence and gender stereotyping</w:t>
      </w:r>
      <w:r>
        <w:t xml:space="preserve"> </w:t>
      </w:r>
      <w:r>
        <w:t xml:space="preserve">[Press release]. Office of the High Commissioner for Human Rights.</w:t>
      </w:r>
      <w:r>
        <w:t xml:space="preserve"> </w:t>
      </w:r>
      <w:hyperlink r:id="rId104">
        <w:r>
          <w:rPr>
            <w:rStyle w:val="Hyperlink"/>
          </w:rPr>
          <w:t xml:space="preserve">https://www.ohchr.org/en/news/2023/10/experts-committee-elimination-discrimination-against-women-welcome-womens-increased</w:t>
        </w:r>
      </w:hyperlink>
    </w:p>
    <w:bookmarkEnd w:id="105"/>
    <w:bookmarkStart w:id="107" w:name="ref-OSCE:2020"/>
    <w:p>
      <w:pPr>
        <w:pStyle w:val="Bibliography"/>
      </w:pPr>
      <w:r>
        <w:t xml:space="preserve">OSCE. (2020).</w:t>
      </w:r>
      <w:r>
        <w:t xml:space="preserve"> </w:t>
      </w:r>
      <w:r>
        <w:rPr>
          <w:i/>
          <w:iCs/>
        </w:rPr>
        <w:t xml:space="preserve">OSCE Media Freedom Representative welcomes swift reaction of Armenian Government in addressing his concerns on State of Emergency Decree</w:t>
      </w:r>
      <w:r>
        <w:t xml:space="preserve"> </w:t>
      </w:r>
      <w:r>
        <w:t xml:space="preserve">[Press release]. Organization for Security and Co-operation in Europe.</w:t>
      </w:r>
      <w:r>
        <w:t xml:space="preserve"> </w:t>
      </w:r>
      <w:hyperlink r:id="rId106">
        <w:r>
          <w:rPr>
            <w:rStyle w:val="Hyperlink"/>
          </w:rPr>
          <w:t xml:space="preserve">https://www.osce.org/representative-on-freedom-of-media/449290</w:t>
        </w:r>
      </w:hyperlink>
    </w:p>
    <w:bookmarkEnd w:id="107"/>
    <w:bookmarkStart w:id="109" w:name="ref-PeacefulAssemblyWorldwide:2021"/>
    <w:p>
      <w:pPr>
        <w:pStyle w:val="Bibliography"/>
      </w:pPr>
      <w:r>
        <w:t xml:space="preserve">Peaceful Assembly Worldwide. (2021).</w:t>
      </w:r>
      <w:r>
        <w:t xml:space="preserve"> </w:t>
      </w:r>
      <w:r>
        <w:rPr>
          <w:i/>
          <w:iCs/>
        </w:rPr>
        <w:t xml:space="preserve">Derogations by States Parties from Article 21 ICCPR, Article 11 ECHR, and Article 15 ACHR on the Basis of the COVID-19 Pandemic</w:t>
      </w:r>
      <w:r>
        <w:t xml:space="preserve">. Centre for Human Rights, University of Pretoria.</w:t>
      </w:r>
      <w:r>
        <w:t xml:space="preserve"> </w:t>
      </w:r>
      <w:hyperlink r:id="rId108">
        <w:r>
          <w:rPr>
            <w:rStyle w:val="Hyperlink"/>
          </w:rPr>
          <w:t xml:space="preserve">https://www.rightofassembly.info/assets/downloads/Derogations_by_States_Parties_from_the_right_to_assembly_on_the_Basis_of_the_COVID_19_Pandemic_(as_of_3_March_2021).pdf</w:t>
        </w:r>
      </w:hyperlink>
    </w:p>
    <w:bookmarkEnd w:id="109"/>
    <w:bookmarkStart w:id="111" w:name="ref-rproject-4-4-0"/>
    <w:p>
      <w:pPr>
        <w:pStyle w:val="Bibliography"/>
      </w:pPr>
      <w:r>
        <w:t xml:space="preserve">R Core Team. (2024).</w:t>
      </w:r>
      <w:r>
        <w:t xml:space="preserve"> </w:t>
      </w:r>
      <w:r>
        <w:rPr>
          <w:i/>
          <w:iCs/>
        </w:rPr>
        <w:t xml:space="preserve">R: A language and environment for statistical computing</w:t>
      </w:r>
      <w:r>
        <w:t xml:space="preserve"> </w:t>
      </w:r>
      <w:r>
        <w:t xml:space="preserve">[Computer software]. R Foundation for Statistical Computing.</w:t>
      </w:r>
      <w:r>
        <w:t xml:space="preserve"> </w:t>
      </w:r>
      <w:hyperlink r:id="rId110">
        <w:r>
          <w:rPr>
            <w:rStyle w:val="Hyperlink"/>
          </w:rPr>
          <w:t xml:space="preserve">https://www.r-project.org/</w:t>
        </w:r>
      </w:hyperlink>
    </w:p>
    <w:bookmarkEnd w:id="111"/>
    <w:bookmarkStart w:id="113" w:name="ref-Ridgwell:2024"/>
    <w:p>
      <w:pPr>
        <w:pStyle w:val="Bibliography"/>
      </w:pPr>
      <w:r>
        <w:t xml:space="preserve">Ridgwell, H. (2024, February 23). Hungary appears to be strengthening ties with Russia, China.</w:t>
      </w:r>
      <w:r>
        <w:t xml:space="preserve"> </w:t>
      </w:r>
      <w:r>
        <w:rPr>
          <w:i/>
          <w:iCs/>
        </w:rPr>
        <w:t xml:space="preserve">Voice of America</w:t>
      </w:r>
      <w:r>
        <w:t xml:space="preserve">.</w:t>
      </w:r>
      <w:r>
        <w:t xml:space="preserve"> </w:t>
      </w:r>
      <w:hyperlink r:id="rId112">
        <w:r>
          <w:rPr>
            <w:rStyle w:val="Hyperlink"/>
          </w:rPr>
          <w:t xml:space="preserve">https://www.voanews.com/a/hungary-appears-to-be-strengthening-ties-with-russia-china/7499682.html</w:t>
        </w:r>
      </w:hyperlink>
    </w:p>
    <w:bookmarkEnd w:id="113"/>
    <w:bookmarkStart w:id="115" w:name="ref-stan"/>
    <w:p>
      <w:pPr>
        <w:pStyle w:val="Bibliography"/>
      </w:pPr>
      <w:r>
        <w:t xml:space="preserve">Stan Development Team. (2023).</w:t>
      </w:r>
      <w:r>
        <w:t xml:space="preserve"> </w:t>
      </w:r>
      <w:r>
        <w:rPr>
          <w:i/>
          <w:iCs/>
        </w:rPr>
        <w:t xml:space="preserve">Stan Modeling Language</w:t>
      </w:r>
      <w:r>
        <w:t xml:space="preserve"> </w:t>
      </w:r>
      <w:r>
        <w:t xml:space="preserve">(Version 2.26.1) [Computer software].</w:t>
      </w:r>
      <w:r>
        <w:t xml:space="preserve"> </w:t>
      </w:r>
      <w:hyperlink r:id="rId114">
        <w:r>
          <w:rPr>
            <w:rStyle w:val="Hyperlink"/>
          </w:rPr>
          <w:t xml:space="preserve">https://mc-stan.org</w:t>
        </w:r>
      </w:hyperlink>
    </w:p>
    <w:bookmarkEnd w:id="115"/>
    <w:bookmarkStart w:id="117" w:name="X71856af7a06ee40a919d3ee3e124615baae6b14"/>
    <w:p>
      <w:pPr>
        <w:pStyle w:val="Bibliography"/>
      </w:pPr>
      <w:r>
        <w:t xml:space="preserve">The Global State of Democracy Initiative. (2021).</w:t>
      </w:r>
      <w:r>
        <w:t xml:space="preserve"> </w:t>
      </w:r>
      <w:r>
        <w:rPr>
          <w:i/>
          <w:iCs/>
        </w:rPr>
        <w:t xml:space="preserve">Guatemala (COVID-19)</w:t>
      </w:r>
      <w:r>
        <w:t xml:space="preserve">.</w:t>
      </w:r>
      <w:r>
        <w:t xml:space="preserve"> </w:t>
      </w:r>
      <w:hyperlink r:id="rId116">
        <w:r>
          <w:rPr>
            <w:rStyle w:val="Hyperlink"/>
          </w:rPr>
          <w:t xml:space="preserve">https://www.idea.int/gsod-indices/profile/covid19/guatemala</w:t>
        </w:r>
      </w:hyperlink>
    </w:p>
    <w:bookmarkEnd w:id="117"/>
    <w:bookmarkStart w:id="119" w:name="ref-Tripathi:2023"/>
    <w:p>
      <w:pPr>
        <w:pStyle w:val="Bibliography"/>
      </w:pPr>
      <w:r>
        <w:t xml:space="preserve">Tripathi, S. (2023, June 20). India’s worsening democracy makes it an unreliable ally.</w:t>
      </w:r>
      <w:r>
        <w:t xml:space="preserve"> </w:t>
      </w:r>
      <w:r>
        <w:rPr>
          <w:i/>
          <w:iCs/>
        </w:rPr>
        <w:t xml:space="preserve">TIME</w:t>
      </w:r>
      <w:r>
        <w:t xml:space="preserve">.</w:t>
      </w:r>
      <w:r>
        <w:t xml:space="preserve"> </w:t>
      </w:r>
      <w:hyperlink r:id="rId118">
        <w:r>
          <w:rPr>
            <w:rStyle w:val="Hyperlink"/>
          </w:rPr>
          <w:t xml:space="preserve">https://time.com/6288505/indias-worsening-democracy-makes-it-an-unreliable-ally/</w:t>
        </w:r>
      </w:hyperlink>
    </w:p>
    <w:bookmarkEnd w:id="119"/>
    <w:bookmarkStart w:id="121" w:name="ref-YasirSchultz:2020"/>
    <w:p>
      <w:pPr>
        <w:pStyle w:val="Bibliography"/>
      </w:pPr>
      <w:r>
        <w:t xml:space="preserve">Yasir, S., &amp; Schultz, K. (2020, July 19). India rounds up critics under shadow of virus crisis, activists say.</w:t>
      </w:r>
      <w:r>
        <w:t xml:space="preserve"> </w:t>
      </w:r>
      <w:r>
        <w:rPr>
          <w:i/>
          <w:iCs/>
        </w:rPr>
        <w:t xml:space="preserve">The New York Times</w:t>
      </w:r>
      <w:r>
        <w:t xml:space="preserve">.</w:t>
      </w:r>
      <w:r>
        <w:t xml:space="preserve"> </w:t>
      </w:r>
      <w:hyperlink r:id="rId120">
        <w:r>
          <w:rPr>
            <w:rStyle w:val="Hyperlink"/>
          </w:rPr>
          <w:t xml:space="preserve">https://www.nytimes.com/2020/07/19/world/asia/india-activists-arrests-riots-coronavirus.html</w:t>
        </w:r>
      </w:hyperlink>
    </w:p>
    <w:bookmarkEnd w:id="121"/>
    <w:bookmarkEnd w:id="122"/>
    <w:bookmarkEnd w:id="123"/>
    <w:sectPr w:rsidR="00122113">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1"/>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AFE9ABA"/>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399C72BC"/>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134E0EF6"/>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503C8C3E"/>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62D6470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C46E51F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9B5E07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51895C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9D9284A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801418FA"/>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302EAA8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697265735" w:numId="1">
    <w:abstractNumId w:val="10"/>
  </w:num>
  <w:num w16cid:durableId="1621572318" w:numId="2">
    <w:abstractNumId w:val="0"/>
  </w:num>
  <w:num w16cid:durableId="1698038869" w:numId="3">
    <w:abstractNumId w:val="1"/>
  </w:num>
  <w:num w16cid:durableId="1816601568" w:numId="4">
    <w:abstractNumId w:val="2"/>
  </w:num>
  <w:num w16cid:durableId="1549143319" w:numId="5">
    <w:abstractNumId w:val="3"/>
  </w:num>
  <w:num w16cid:durableId="1923370611" w:numId="6">
    <w:abstractNumId w:val="8"/>
  </w:num>
  <w:num w16cid:durableId="1712731999" w:numId="7">
    <w:abstractNumId w:val="4"/>
  </w:num>
  <w:num w16cid:durableId="1199927662" w:numId="8">
    <w:abstractNumId w:val="5"/>
  </w:num>
  <w:num w16cid:durableId="368116615" w:numId="9">
    <w:abstractNumId w:val="6"/>
  </w:num>
  <w:num w16cid:durableId="1819230131" w:numId="10">
    <w:abstractNumId w:val="7"/>
  </w:num>
  <w:num w16cid:durableId="666782604" w:numId="11">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3"/>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3263"/>
    <w:rsid w:val="00122113"/>
    <w:rsid w:val="004B30E0"/>
    <w:rsid w:val="00625F96"/>
    <w:rsid w:val="00826F97"/>
    <w:rsid w:val="00950616"/>
    <w:rsid w:val="00CA66A9"/>
    <w:rsid w:val="00F1135C"/>
    <w:rsid w:val="00F63C83"/>
    <w:rsid w:val="00F8326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CA66A9"/>
    <w:pPr>
      <w:spacing w:after="0" w:line="432" w:lineRule="auto"/>
    </w:pPr>
    <w:rPr>
      <w:rFonts w:ascii="Times New Roman" w:hAnsi="Times New Roman"/>
    </w:rPr>
  </w:style>
  <w:style w:styleId="Heading1" w:type="paragraph">
    <w:name w:val="heading 1"/>
    <w:basedOn w:val="Normal"/>
    <w:next w:val="BodyText"/>
    <w:uiPriority w:val="9"/>
    <w:qFormat/>
    <w:rsid w:val="00CA66A9"/>
    <w:pPr>
      <w:keepNext/>
      <w:keepLines/>
      <w:spacing w:before="480"/>
      <w:jc w:val="center"/>
      <w:outlineLvl w:val="0"/>
    </w:pPr>
    <w:rPr>
      <w:rFonts w:cstheme="majorBidi" w:eastAsiaTheme="majorEastAsia"/>
      <w:b/>
      <w:bCs/>
      <w:color w:themeColor="text1" w:val="000000"/>
      <w:szCs w:val="32"/>
    </w:rPr>
  </w:style>
  <w:style w:styleId="Heading2" w:type="paragraph">
    <w:name w:val="heading 2"/>
    <w:basedOn w:val="Normal"/>
    <w:next w:val="BodyText"/>
    <w:uiPriority w:val="9"/>
    <w:unhideWhenUsed/>
    <w:qFormat/>
    <w:rsid w:val="004B30E0"/>
    <w:pPr>
      <w:keepNext/>
      <w:keepLines/>
      <w:spacing w:before="240"/>
      <w:outlineLvl w:val="1"/>
    </w:pPr>
    <w:rPr>
      <w:rFonts w:cstheme="majorBidi" w:eastAsiaTheme="majorEastAsia"/>
      <w:b/>
      <w:bCs/>
      <w:szCs w:val="28"/>
    </w:rPr>
  </w:style>
  <w:style w:styleId="Heading3" w:type="paragraph">
    <w:name w:val="heading 3"/>
    <w:basedOn w:val="Normal"/>
    <w:next w:val="BodyText"/>
    <w:uiPriority w:val="9"/>
    <w:unhideWhenUsed/>
    <w:qFormat/>
    <w:rsid w:val="004B30E0"/>
    <w:pPr>
      <w:keepNext/>
      <w:keepLines/>
      <w:outlineLvl w:val="2"/>
    </w:pPr>
    <w:rPr>
      <w:rFonts w:cstheme="majorBidi" w:eastAsiaTheme="majorEastAsia"/>
      <w:b/>
      <w:bCs/>
      <w:i/>
    </w:rPr>
  </w:style>
  <w:style w:styleId="Heading4" w:type="paragraph">
    <w:name w:val="heading 4"/>
    <w:basedOn w:val="Normal"/>
    <w:next w:val="BodyText"/>
    <w:uiPriority w:val="9"/>
    <w:unhideWhenUsed/>
    <w:qFormat/>
    <w:rsid w:val="004B30E0"/>
    <w:pPr>
      <w:keepNext/>
      <w:keepLines/>
      <w:ind w:left="720"/>
      <w:outlineLvl w:val="3"/>
    </w:pPr>
    <w:rPr>
      <w:rFonts w:cstheme="majorBidi" w:eastAsiaTheme="majorEastAsia"/>
      <w:b/>
      <w:bCs/>
    </w:rPr>
  </w:style>
  <w:style w:styleId="Heading5" w:type="paragraph">
    <w:name w:val="heading 5"/>
    <w:basedOn w:val="Normal"/>
    <w:next w:val="BodyText"/>
    <w:uiPriority w:val="9"/>
    <w:unhideWhenUsed/>
    <w:qFormat/>
    <w:rsid w:val="004B30E0"/>
    <w:pPr>
      <w:keepNext/>
      <w:keepLines/>
      <w:ind w:left="720"/>
      <w:outlineLvl w:val="4"/>
    </w:pPr>
    <w:rPr>
      <w:rFonts w:cstheme="majorBidi" w:eastAsiaTheme="majorEastAsia"/>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F1135C"/>
    <w:pPr>
      <w:ind w:firstLine="720"/>
    </w:pPr>
  </w:style>
  <w:style w:customStyle="1" w:styleId="FirstParagraph" w:type="paragraph">
    <w:name w:val="First Paragraph"/>
    <w:basedOn w:val="BodyText"/>
    <w:next w:val="BodyText"/>
    <w:qFormat/>
    <w:rsid w:val="00F1135C"/>
    <w:pPr>
      <w:ind w:firstLine="0"/>
    </w:pPr>
  </w:style>
  <w:style w:customStyle="1" w:styleId="Compact" w:type="paragraph">
    <w:name w:val="Compact"/>
    <w:basedOn w:val="BodyText"/>
    <w:qFormat/>
    <w:pPr>
      <w:spacing w:after="36" w:before="36"/>
    </w:pPr>
  </w:style>
  <w:style w:styleId="Title" w:type="paragraph">
    <w:name w:val="Title"/>
    <w:basedOn w:val="Normal"/>
    <w:next w:val="BodyText"/>
    <w:qFormat/>
    <w:rsid w:val="00CA66A9"/>
    <w:pPr>
      <w:keepNext/>
      <w:keepLines/>
      <w:jc w:val="center"/>
    </w:pPr>
    <w:rPr>
      <w:rFonts w:cstheme="majorBidi" w:eastAsiaTheme="majorEastAsia"/>
      <w:b/>
      <w:bCs/>
      <w:color w:themeColor="text1" w:val="000000"/>
      <w:szCs w:val="36"/>
    </w:rPr>
  </w:style>
  <w:style w:styleId="Subtitle" w:type="paragraph">
    <w:name w:val="Subtitle"/>
    <w:basedOn w:val="Title"/>
    <w:next w:val="BodyText"/>
    <w:qFormat/>
    <w:rsid w:val="00CA66A9"/>
    <w:rPr>
      <w:szCs w:val="30"/>
    </w:rPr>
  </w:style>
  <w:style w:customStyle="1" w:styleId="Author" w:type="paragraph">
    <w:name w:val="Author"/>
    <w:next w:val="BodyText"/>
    <w:qFormat/>
    <w:rsid w:val="00CA66A9"/>
    <w:pPr>
      <w:keepNext/>
      <w:keepLines/>
      <w:spacing w:after="0" w:line="432" w:lineRule="auto"/>
      <w:jc w:val="center"/>
    </w:pPr>
    <w:rPr>
      <w:rFonts w:ascii="Times New Roman" w:hAnsi="Times New Roman"/>
    </w:rPr>
  </w:style>
  <w:style w:styleId="Date" w:type="paragraph">
    <w:name w:val="Date"/>
    <w:next w:val="BodyText"/>
    <w:qFormat/>
    <w:rsid w:val="00CA66A9"/>
    <w:pPr>
      <w:keepNext/>
      <w:keepLines/>
      <w:spacing w:after="0" w:line="432" w:lineRule="auto"/>
      <w:jc w:val="center"/>
    </w:pPr>
    <w:rPr>
      <w:rFonts w:ascii="Times New Roman" w:hAnsi="Times New Roman"/>
    </w:rPr>
  </w:style>
  <w:style w:customStyle="1" w:styleId="Abstract" w:type="paragraph">
    <w:name w:val="Abstract"/>
    <w:basedOn w:val="Normal"/>
    <w:next w:val="BodyText"/>
    <w:qFormat/>
    <w:rsid w:val="00CA66A9"/>
    <w:pPr>
      <w:keepNext/>
      <w:keepLines/>
      <w:spacing w:after="300" w:before="300"/>
      <w:ind w:left="720" w:right="720"/>
    </w:pPr>
    <w:rPr>
      <w:sz w:val="20"/>
      <w:szCs w:val="20"/>
    </w:rPr>
  </w:style>
  <w:style w:styleId="Bibliography" w:type="paragraph">
    <w:name w:val="Bibliography"/>
    <w:basedOn w:val="Normal"/>
    <w:qFormat/>
    <w:rsid w:val="004B30E0"/>
    <w:pPr>
      <w:ind w:hanging="720" w:left="720"/>
    </w:p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4B30E0"/>
    <w:rPr>
      <w:color w:val="auto"/>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val="0"/>
      <w:bCs w:val="0"/>
      <w:color w:themeColor="accent1" w:themeShade="BF" w:val="365F91"/>
    </w:rPr>
  </w:style>
  <w:style w:customStyle="1" w:styleId="BodyTextChar" w:type="character">
    <w:name w:val="Body Text Char"/>
    <w:basedOn w:val="DefaultParagraphFont"/>
    <w:link w:val="BodyText"/>
    <w:rsid w:val="00F1135C"/>
    <w:rPr>
      <w:rFonts w:ascii="Times New Roman" w:hAnsi="Times New Roman"/>
    </w:rPr>
  </w:style>
  <w:style w:customStyle="1" w:styleId="SourceCode" w:type="paragraph">
    <w:name w:val="Source Code"/>
    <w:basedOn w:val="Normal"/>
    <w:link w:val="VerbatimChar"/>
    <w:rsid w:val="00122113"/>
    <w:pPr>
      <w:widowControl w:val="0"/>
      <w:shd w:color="auto" w:fill="F8F8F8" w:val="clear"/>
      <w:wordWrap w:val="0"/>
      <w:spacing w:after="480" w:before="240" w:line="240" w:lineRule="auto"/>
      <w:contextualSpacing/>
    </w:pPr>
    <w:rPr>
      <w:rFonts w:ascii="Consolas" w:hAnsi="Consolas"/>
      <w:sz w:val="22"/>
    </w:rPr>
  </w:style>
  <w:style w:customStyle="1" w:styleId="FunctionTok" w:type="character">
    <w:name w:val="FunctionTok"/>
    <w:basedOn w:val="VerbatimChar"/>
    <w:rsid w:val="00122113"/>
    <w:rPr>
      <w:rFonts w:ascii="Consolas" w:hAnsi="Consolas"/>
      <w:i/>
      <w:color w:val="000000"/>
      <w:sz w:val="22"/>
      <w:shd w:color="auto" w:fill="F8F8F8" w:val="clear"/>
    </w:rPr>
  </w:style>
  <w:style w:customStyle="1" w:styleId="NormalTok" w:type="character">
    <w:name w:val="NormalTok"/>
    <w:basedOn w:val="VerbatimChar"/>
    <w:rsid w:val="00122113"/>
    <w:rPr>
      <w:rFonts w:ascii="Consolas" w:hAnsi="Consolas"/>
      <w:i/>
      <w:sz w:val="22"/>
      <w:shd w:color="auto" w:fill="F8F8F8" w:val="clear"/>
    </w:r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hyperlink" Id="rId100" Target="http://www.oas.org/es/sla/ddi/docs/tratados_multilaterales_suspencion_garantias_Guatemala_nota_No_182-2020.pdf" TargetMode="External" /><Relationship Type="http://schemas.openxmlformats.org/officeDocument/2006/relationships/hyperlink" Id="rId77" Target="https://digitalcommons.wcl.american.edu/hrbrief/vol24/iss1/5/" TargetMode="External" /><Relationship Type="http://schemas.openxmlformats.org/officeDocument/2006/relationships/hyperlink" Id="rId69" Target="https://doi.org/10.1007/s12142-018-0536-0" TargetMode="External" /><Relationship Type="http://schemas.openxmlformats.org/officeDocument/2006/relationships/hyperlink" Id="rId83" Target="https://doi.org/10.1214/08-AOAS191" TargetMode="External" /><Relationship Type="http://schemas.openxmlformats.org/officeDocument/2006/relationships/hyperlink" Id="rId102" Target="https://doi.org/10.1353/jod.2020.0058" TargetMode="External" /><Relationship Type="http://schemas.openxmlformats.org/officeDocument/2006/relationships/hyperlink" Id="rId22" Target="https://doi.org/10.17605/OSF.IO/ANONYMIZED-FOR-NOW" TargetMode="External" /><Relationship Type="http://schemas.openxmlformats.org/officeDocument/2006/relationships/hyperlink" Id="rId63" Target="https://doi.org/10.18637/jss.v080.i01" TargetMode="External" /><Relationship Type="http://schemas.openxmlformats.org/officeDocument/2006/relationships/hyperlink" Id="rId85" Target="https://foreignpolicy.com/2022/06/06/modi-india-russia-ukraine-war-china-us-geopolitics-multipolar-quad/" TargetMode="External" /><Relationship Type="http://schemas.openxmlformats.org/officeDocument/2006/relationships/hyperlink" Id="rId87" Target="https://foreignpolicy.com/2022/12/09/india-russia-ukraine-war-putin-modi-biden-sanctions-geopolitics/" TargetMode="External" /><Relationship Type="http://schemas.openxmlformats.org/officeDocument/2006/relationships/hyperlink" Id="rId97" Target="https://hclu.hu/en/articles/joint-letter-hungarian-govts-decision-to-limit-gdpr-rights-is-disproportionate-and-unjustified" TargetMode="External" /><Relationship Type="http://schemas.openxmlformats.org/officeDocument/2006/relationships/hyperlink" Id="rId114" Target="https://mc-stan.org" TargetMode="External" /><Relationship Type="http://schemas.openxmlformats.org/officeDocument/2006/relationships/hyperlink" Id="rId93" Target="https://opiniojuris.org/2020/04/18/to-notify-or-not-to-notify-derogations-from-human-rights-treaties/" TargetMode="External" /><Relationship Type="http://schemas.openxmlformats.org/officeDocument/2006/relationships/hyperlink" Id="rId75" Target="https://rm.coe.int/armenia-reply-en-emergency-restrictions-force-media-to-suppress-indepe/16809e4ace" TargetMode="External" /><Relationship Type="http://schemas.openxmlformats.org/officeDocument/2006/relationships/hyperlink" Id="rId118" Target="https://time.com/6288505/indias-worsening-democracy-makes-it-an-unreliable-ally/" TargetMode="External" /><Relationship Type="http://schemas.openxmlformats.org/officeDocument/2006/relationships/hyperlink" Id="rId59" Target="https://www.amnestyusa.org/press-releases/responses-to-covid-19-and-states-human-rights-obligations-preliminary-observations/" TargetMode="External" /><Relationship Type="http://schemas.openxmlformats.org/officeDocument/2006/relationships/hyperlink" Id="rId65" Target="https://www.caspianpolicy.org/research/armenia/armenias-grand-rebalance-eu-and-russia" TargetMode="External" /><Relationship Type="http://schemas.openxmlformats.org/officeDocument/2006/relationships/hyperlink" Id="rId73" Target="https://www.coe.int/en/web/conventions/derogations-covid-19" TargetMode="External" /><Relationship Type="http://schemas.openxmlformats.org/officeDocument/2006/relationships/hyperlink" Id="rId71" Target="https://www.constitutionofindia.net/articles/article-352-proclamation-of-emergency/" TargetMode="External" /><Relationship Type="http://schemas.openxmlformats.org/officeDocument/2006/relationships/hyperlink" Id="rId91" Target="https://www.icj.org/wp-content/uploads/2022/02/Hungary-A-Facade-of-Legality-legal-briefing-2022-ENG.pdf" TargetMode="External" /><Relationship Type="http://schemas.openxmlformats.org/officeDocument/2006/relationships/hyperlink" Id="rId89" Target="https://www.icnl.org/covid19tracker/" TargetMode="External" /><Relationship Type="http://schemas.openxmlformats.org/officeDocument/2006/relationships/hyperlink" Id="rId116" Target="https://www.idea.int/gsod-indices/profile/covid19/guatemala" TargetMode="External" /><Relationship Type="http://schemas.openxmlformats.org/officeDocument/2006/relationships/hyperlink" Id="rId79" Target="https://www.journalofdemocracy.org/online-exclusive/a-shock-to-guatemalas-system/" TargetMode="External" /><Relationship Type="http://schemas.openxmlformats.org/officeDocument/2006/relationships/hyperlink" Id="rId120" Target="https://www.nytimes.com/2020/07/19/world/asia/india-activists-arrests-riots-coronavirus.html" TargetMode="External" /><Relationship Type="http://schemas.openxmlformats.org/officeDocument/2006/relationships/hyperlink" Id="rId104" Target="https://www.ohchr.org/en/news/2023/10/experts-committee-elimination-discrimination-against-women-welcome-womens-increased" TargetMode="External" /><Relationship Type="http://schemas.openxmlformats.org/officeDocument/2006/relationships/hyperlink" Id="rId106" Target="https://www.osce.org/representative-on-freedom-of-media/449290" TargetMode="External" /><Relationship Type="http://schemas.openxmlformats.org/officeDocument/2006/relationships/hyperlink" Id="rId81" Target="https://www.politico.eu/article/hungary-veto-eu-russia-gas-sanctions/" TargetMode="External" /><Relationship Type="http://schemas.openxmlformats.org/officeDocument/2006/relationships/hyperlink" Id="rId110" Target="https://www.r-project.org/" TargetMode="External" /><Relationship Type="http://schemas.openxmlformats.org/officeDocument/2006/relationships/hyperlink" Id="rId95" Target="https://www.rferl.org/a/armenia-pashinian-united-states-west-relations-russia-analysis/32591327.html" TargetMode="External" /><Relationship Type="http://schemas.openxmlformats.org/officeDocument/2006/relationships/hyperlink" Id="rId108" Target="https://www.rightofassembly.info/assets/downloads/Derogations_by_States_Parties_from_the_right_to_assembly_on_the_Basis_of_the_COVID_19_Pandemic_(as_of_3_March_2021).pdf" TargetMode="External" /><Relationship Type="http://schemas.openxmlformats.org/officeDocument/2006/relationships/hyperlink" Id="rId112" Target="https://www.voanews.com/a/hungary-appears-to-be-strengthening-ties-with-russia-china/7499682.html" TargetMode="External" /><Relationship Type="http://schemas.openxmlformats.org/officeDocument/2006/relationships/hyperlink" Id="rId61" Target="https://www.washingtonpost.com/opinions/2020/04/06/islamophobia-taints-indias-response-coronavirus/" TargetMode="External" /><Relationship Type="http://schemas.openxmlformats.org/officeDocument/2006/relationships/hyperlink" Id="rId67" Target="https://www.washingtonpost.com/politics/2020/03/30/how-india-plans-put-13-billion-people-coronavirus-lockdown/" TargetMode="External" /></Relationships>
</file>

<file path=word/_rels/footnotes.xml.rels><?xml version="1.0" encoding="UTF-8"?><Relationships xmlns="http://schemas.openxmlformats.org/package/2006/relationships"><Relationship Type="http://schemas.openxmlformats.org/officeDocument/2006/relationships/hyperlink" Id="rId100" Target="http://www.oas.org/es/sla/ddi/docs/tratados_multilaterales_suspencion_garantias_Guatemala_nota_No_182-2020.pdf" TargetMode="External" /><Relationship Type="http://schemas.openxmlformats.org/officeDocument/2006/relationships/hyperlink" Id="rId77" Target="https://digitalcommons.wcl.american.edu/hrbrief/vol24/iss1/5/" TargetMode="External" /><Relationship Type="http://schemas.openxmlformats.org/officeDocument/2006/relationships/hyperlink" Id="rId69" Target="https://doi.org/10.1007/s12142-018-0536-0" TargetMode="External" /><Relationship Type="http://schemas.openxmlformats.org/officeDocument/2006/relationships/hyperlink" Id="rId83" Target="https://doi.org/10.1214/08-AOAS191" TargetMode="External" /><Relationship Type="http://schemas.openxmlformats.org/officeDocument/2006/relationships/hyperlink" Id="rId102" Target="https://doi.org/10.1353/jod.2020.0058" TargetMode="External" /><Relationship Type="http://schemas.openxmlformats.org/officeDocument/2006/relationships/hyperlink" Id="rId22" Target="https://doi.org/10.17605/OSF.IO/ANONYMIZED-FOR-NOW" TargetMode="External" /><Relationship Type="http://schemas.openxmlformats.org/officeDocument/2006/relationships/hyperlink" Id="rId63" Target="https://doi.org/10.18637/jss.v080.i01" TargetMode="External" /><Relationship Type="http://schemas.openxmlformats.org/officeDocument/2006/relationships/hyperlink" Id="rId85" Target="https://foreignpolicy.com/2022/06/06/modi-india-russia-ukraine-war-china-us-geopolitics-multipolar-quad/" TargetMode="External" /><Relationship Type="http://schemas.openxmlformats.org/officeDocument/2006/relationships/hyperlink" Id="rId87" Target="https://foreignpolicy.com/2022/12/09/india-russia-ukraine-war-putin-modi-biden-sanctions-geopolitics/" TargetMode="External" /><Relationship Type="http://schemas.openxmlformats.org/officeDocument/2006/relationships/hyperlink" Id="rId97" Target="https://hclu.hu/en/articles/joint-letter-hungarian-govts-decision-to-limit-gdpr-rights-is-disproportionate-and-unjustified" TargetMode="External" /><Relationship Type="http://schemas.openxmlformats.org/officeDocument/2006/relationships/hyperlink" Id="rId114" Target="https://mc-stan.org" TargetMode="External" /><Relationship Type="http://schemas.openxmlformats.org/officeDocument/2006/relationships/hyperlink" Id="rId93" Target="https://opiniojuris.org/2020/04/18/to-notify-or-not-to-notify-derogations-from-human-rights-treaties/" TargetMode="External" /><Relationship Type="http://schemas.openxmlformats.org/officeDocument/2006/relationships/hyperlink" Id="rId75" Target="https://rm.coe.int/armenia-reply-en-emergency-restrictions-force-media-to-suppress-indepe/16809e4ace" TargetMode="External" /><Relationship Type="http://schemas.openxmlformats.org/officeDocument/2006/relationships/hyperlink" Id="rId118" Target="https://time.com/6288505/indias-worsening-democracy-makes-it-an-unreliable-ally/" TargetMode="External" /><Relationship Type="http://schemas.openxmlformats.org/officeDocument/2006/relationships/hyperlink" Id="rId59" Target="https://www.amnestyusa.org/press-releases/responses-to-covid-19-and-states-human-rights-obligations-preliminary-observations/" TargetMode="External" /><Relationship Type="http://schemas.openxmlformats.org/officeDocument/2006/relationships/hyperlink" Id="rId65" Target="https://www.caspianpolicy.org/research/armenia/armenias-grand-rebalance-eu-and-russia" TargetMode="External" /><Relationship Type="http://schemas.openxmlformats.org/officeDocument/2006/relationships/hyperlink" Id="rId73" Target="https://www.coe.int/en/web/conventions/derogations-covid-19" TargetMode="External" /><Relationship Type="http://schemas.openxmlformats.org/officeDocument/2006/relationships/hyperlink" Id="rId71" Target="https://www.constitutionofindia.net/articles/article-352-proclamation-of-emergency/" TargetMode="External" /><Relationship Type="http://schemas.openxmlformats.org/officeDocument/2006/relationships/hyperlink" Id="rId91" Target="https://www.icj.org/wp-content/uploads/2022/02/Hungary-A-Facade-of-Legality-legal-briefing-2022-ENG.pdf" TargetMode="External" /><Relationship Type="http://schemas.openxmlformats.org/officeDocument/2006/relationships/hyperlink" Id="rId89" Target="https://www.icnl.org/covid19tracker/" TargetMode="External" /><Relationship Type="http://schemas.openxmlformats.org/officeDocument/2006/relationships/hyperlink" Id="rId116" Target="https://www.idea.int/gsod-indices/profile/covid19/guatemala" TargetMode="External" /><Relationship Type="http://schemas.openxmlformats.org/officeDocument/2006/relationships/hyperlink" Id="rId79" Target="https://www.journalofdemocracy.org/online-exclusive/a-shock-to-guatemalas-system/" TargetMode="External" /><Relationship Type="http://schemas.openxmlformats.org/officeDocument/2006/relationships/hyperlink" Id="rId120" Target="https://www.nytimes.com/2020/07/19/world/asia/india-activists-arrests-riots-coronavirus.html" TargetMode="External" /><Relationship Type="http://schemas.openxmlformats.org/officeDocument/2006/relationships/hyperlink" Id="rId104" Target="https://www.ohchr.org/en/news/2023/10/experts-committee-elimination-discrimination-against-women-welcome-womens-increased" TargetMode="External" /><Relationship Type="http://schemas.openxmlformats.org/officeDocument/2006/relationships/hyperlink" Id="rId106" Target="https://www.osce.org/representative-on-freedom-of-media/449290" TargetMode="External" /><Relationship Type="http://schemas.openxmlformats.org/officeDocument/2006/relationships/hyperlink" Id="rId81" Target="https://www.politico.eu/article/hungary-veto-eu-russia-gas-sanctions/" TargetMode="External" /><Relationship Type="http://schemas.openxmlformats.org/officeDocument/2006/relationships/hyperlink" Id="rId110" Target="https://www.r-project.org/" TargetMode="External" /><Relationship Type="http://schemas.openxmlformats.org/officeDocument/2006/relationships/hyperlink" Id="rId95" Target="https://www.rferl.org/a/armenia-pashinian-united-states-west-relations-russia-analysis/32591327.html" TargetMode="External" /><Relationship Type="http://schemas.openxmlformats.org/officeDocument/2006/relationships/hyperlink" Id="rId108" Target="https://www.rightofassembly.info/assets/downloads/Derogations_by_States_Parties_from_the_right_to_assembly_on_the_Basis_of_the_COVID_19_Pandemic_(as_of_3_March_2021).pdf" TargetMode="External" /><Relationship Type="http://schemas.openxmlformats.org/officeDocument/2006/relationships/hyperlink" Id="rId112" Target="https://www.voanews.com/a/hungary-appears-to-be-strengthening-ties-with-russia-china/7499682.html" TargetMode="External" /><Relationship Type="http://schemas.openxmlformats.org/officeDocument/2006/relationships/hyperlink" Id="rId61" Target="https://www.washingtonpost.com/opinions/2020/04/06/islamophobia-taints-indias-response-coronavirus/" TargetMode="External" /><Relationship Type="http://schemas.openxmlformats.org/officeDocument/2006/relationships/hyperlink" Id="rId67" Target="https://www.washingtonpost.com/politics/2020/03/30/how-india-plans-put-13-billion-people-coronavirus-lockdow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appendix for “Derogations, Democratic Backsliding, and International Human Rights During the COVID-19 Pandemic”</dc:title>
  <dc:creator>Audrey L. Comstock; Andrew Heiss; Suparna Chaudhry</dc:creator>
  <cp:keywords/>
  <dcterms:created xsi:type="dcterms:W3CDTF">2024-12-12T06:32:39Z</dcterms:created>
  <dcterms:modified xsi:type="dcterms:W3CDTF">2024-12-12T06:32:39Z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pptbl-cap-location">
    <vt:lpwstr>top</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references.json</vt:lpwstr>
  </property>
  <property fmtid="{D5CDD505-2E9C-101B-9397-08002B2CF9AE}" pid="7" name="by-affiliation">
    <vt:lpwstr/>
  </property>
  <property fmtid="{D5CDD505-2E9C-101B-9397-08002B2CF9AE}" pid="8" name="by-author">
    <vt:lpwstr/>
  </property>
  <property fmtid="{D5CDD505-2E9C-101B-9397-08002B2CF9AE}" pid="9" name="code-repo">
    <vt:lpwstr>Access the code, data, and analysis at https://github.com/andrewheiss/lemon-lucifer</vt:lpwstr>
  </property>
  <property fmtid="{D5CDD505-2E9C-101B-9397-08002B2CF9AE}" pid="10" name="crossref">
    <vt:lpwstr/>
  </property>
  <property fmtid="{D5CDD505-2E9C-101B-9397-08002B2CF9AE}" pid="11" name="csl">
    <vt:lpwstr>csl/apa.csl</vt:lpwstr>
  </property>
  <property fmtid="{D5CDD505-2E9C-101B-9397-08002B2CF9AE}" pid="12" name="date">
    <vt:lpwstr>Tuesday, November 26, 2024</vt:lpwstr>
  </property>
  <property fmtid="{D5CDD505-2E9C-101B-9397-08002B2CF9AE}" pid="13" name="date-format">
    <vt:lpwstr>full</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knitr">
    <vt:lpwstr/>
  </property>
  <property fmtid="{D5CDD505-2E9C-101B-9397-08002B2CF9AE}" pid="18" name="labels">
    <vt:lpwstr/>
  </property>
  <property fmtid="{D5CDD505-2E9C-101B-9397-08002B2CF9AE}" pid="19" name="link-citations">
    <vt:lpwstr>True</vt:lpwstr>
  </property>
  <property fmtid="{D5CDD505-2E9C-101B-9397-08002B2CF9AE}" pid="20" name="revealjs-plugins">
    <vt:lpwstr/>
  </property>
  <property fmtid="{D5CDD505-2E9C-101B-9397-08002B2CF9AE}" pid="21" name="short-title">
    <vt:lpwstr>Online appendix for “Derogations and Backsliding”</vt:lpwstr>
  </property>
  <property fmtid="{D5CDD505-2E9C-101B-9397-08002B2CF9AE}" pid="22" name="toc-title">
    <vt:lpwstr>Table of contents</vt:lpwstr>
  </property>
</Properties>
</file>